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07DF6">
      <w:pPr>
        <w:pStyle w:val="2"/>
        <w:spacing w:line="360" w:lineRule="auto"/>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招标公告</w:t>
      </w:r>
    </w:p>
    <w:p w14:paraId="430EF606">
      <w:pPr>
        <w:spacing w:line="360" w:lineRule="auto"/>
        <w:ind w:firstLine="480" w:firstLineChars="200"/>
        <w:jc w:val="left"/>
        <w:rPr>
          <w:rFonts w:ascii="宋体" w:hAnsi="宋体" w:eastAsia="宋体"/>
          <w:color w:val="000000" w:themeColor="text1"/>
          <w:sz w:val="24"/>
          <w:szCs w:val="24"/>
          <w14:textFill>
            <w14:solidFill>
              <w14:schemeClr w14:val="tx1"/>
            </w14:solidFill>
          </w14:textFill>
        </w:rPr>
      </w:pPr>
      <w:bookmarkStart w:id="0" w:name="_Toc35393621"/>
      <w:bookmarkStart w:id="1" w:name="_Toc35393790"/>
      <w:bookmarkStart w:id="2" w:name="_Toc28359079"/>
      <w:bookmarkStart w:id="3" w:name="_Toc18661"/>
      <w:bookmarkStart w:id="4" w:name="_Toc28359002"/>
      <w:bookmarkStart w:id="5" w:name="_Hlk24379207"/>
      <w:r>
        <w:rPr>
          <w:rFonts w:hint="eastAsia" w:ascii="宋体" w:hAnsi="宋体" w:eastAsia="宋体"/>
          <w:color w:val="000000" w:themeColor="text1"/>
          <w:sz w:val="24"/>
          <w:szCs w:val="24"/>
          <w14:textFill>
            <w14:solidFill>
              <w14:schemeClr w14:val="tx1"/>
            </w14:solidFill>
          </w14:textFill>
        </w:rPr>
        <w:t>我单位拟对</w:t>
      </w:r>
      <w:r>
        <w:rPr>
          <w:rFonts w:hint="eastAsia" w:ascii="宋体" w:hAnsi="宋体" w:eastAsia="宋体"/>
          <w:color w:val="000000" w:themeColor="text1"/>
          <w:sz w:val="24"/>
          <w:szCs w:val="24"/>
          <w:lang w:val="en-US" w:eastAsia="zh-CN"/>
          <w14:textFill>
            <w14:solidFill>
              <w14:schemeClr w14:val="tx1"/>
            </w14:solidFill>
          </w14:textFill>
        </w:rPr>
        <w:t>2025</w:t>
      </w:r>
      <w:r>
        <w:rPr>
          <w:rFonts w:hint="eastAsia" w:ascii="宋体" w:hAnsi="宋体" w:eastAsia="宋体"/>
          <w:color w:val="000000" w:themeColor="text1"/>
          <w:sz w:val="24"/>
          <w:szCs w:val="24"/>
          <w14:textFill>
            <w14:solidFill>
              <w14:schemeClr w14:val="tx1"/>
            </w14:solidFill>
          </w14:textFill>
        </w:rPr>
        <w:t>年招标采购工作向社会选聘社会代理机构提供招标采购工作任务，具体要求如下：</w:t>
      </w:r>
    </w:p>
    <w:p w14:paraId="2CC4D7C0">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通过公开招标的采购方式遴选出3家招标采购代理机构承接</w:t>
      </w:r>
      <w:r>
        <w:rPr>
          <w:rFonts w:hint="eastAsia" w:ascii="宋体" w:hAnsi="宋体" w:eastAsia="宋体"/>
          <w:color w:val="000000" w:themeColor="text1"/>
          <w:sz w:val="24"/>
          <w:szCs w:val="24"/>
          <w14:textFill>
            <w14:solidFill>
              <w14:schemeClr w14:val="tx1"/>
            </w14:solidFill>
          </w14:textFill>
        </w:rPr>
        <w:t>我单位</w:t>
      </w:r>
      <w:r>
        <w:rPr>
          <w:rFonts w:ascii="宋体" w:hAnsi="宋体" w:eastAsia="宋体"/>
          <w:color w:val="000000" w:themeColor="text1"/>
          <w:sz w:val="24"/>
          <w:szCs w:val="24"/>
          <w14:textFill>
            <w14:solidFill>
              <w14:schemeClr w14:val="tx1"/>
            </w14:solidFill>
          </w14:textFill>
        </w:rPr>
        <w:t>在《</w:t>
      </w:r>
      <w:r>
        <w:rPr>
          <w:rFonts w:hint="eastAsia" w:ascii="宋体" w:hAnsi="宋体" w:eastAsia="宋体"/>
          <w:color w:val="000000" w:themeColor="text1"/>
          <w:sz w:val="24"/>
          <w:szCs w:val="24"/>
          <w14:textFill>
            <w14:solidFill>
              <w14:schemeClr w14:val="tx1"/>
            </w14:solidFill>
          </w14:textFill>
        </w:rPr>
        <w:t>国务院办公厅关于印发中央预算单位政府集中采购目录及标准（2020年版）的通知</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(国办发〔2019〕55号)</w:t>
      </w:r>
      <w:r>
        <w:rPr>
          <w:rFonts w:ascii="宋体" w:hAnsi="宋体" w:eastAsia="宋体"/>
          <w:color w:val="000000" w:themeColor="text1"/>
          <w:sz w:val="24"/>
          <w:szCs w:val="24"/>
          <w14:textFill>
            <w14:solidFill>
              <w14:schemeClr w14:val="tx1"/>
            </w14:solidFill>
          </w14:textFill>
        </w:rPr>
        <w:t>中可由</w:t>
      </w:r>
      <w:r>
        <w:rPr>
          <w:rFonts w:hint="eastAsia" w:ascii="宋体" w:hAnsi="宋体" w:eastAsia="宋体"/>
          <w:color w:val="000000" w:themeColor="text1"/>
          <w:sz w:val="24"/>
          <w:szCs w:val="24"/>
          <w14:textFill>
            <w14:solidFill>
              <w14:schemeClr w14:val="tx1"/>
            </w14:solidFill>
          </w14:textFill>
        </w:rPr>
        <w:t>社会</w:t>
      </w:r>
      <w:r>
        <w:rPr>
          <w:rFonts w:ascii="宋体" w:hAnsi="宋体" w:eastAsia="宋体"/>
          <w:color w:val="000000" w:themeColor="text1"/>
          <w:sz w:val="24"/>
          <w:szCs w:val="24"/>
          <w14:textFill>
            <w14:solidFill>
              <w14:schemeClr w14:val="tx1"/>
            </w14:solidFill>
          </w14:textFill>
        </w:rPr>
        <w:t>代理机构进行招标的项目的</w:t>
      </w:r>
      <w:r>
        <w:rPr>
          <w:rFonts w:hint="eastAsia" w:ascii="宋体" w:hAnsi="宋体" w:eastAsia="宋体"/>
          <w:color w:val="000000" w:themeColor="text1"/>
          <w:sz w:val="24"/>
          <w:szCs w:val="24"/>
          <w14:textFill>
            <w14:solidFill>
              <w14:schemeClr w14:val="tx1"/>
            </w14:solidFill>
          </w14:textFill>
        </w:rPr>
        <w:t>有关</w:t>
      </w:r>
      <w:r>
        <w:rPr>
          <w:rFonts w:ascii="宋体" w:hAnsi="宋体" w:eastAsia="宋体"/>
          <w:color w:val="000000" w:themeColor="text1"/>
          <w:sz w:val="24"/>
          <w:szCs w:val="24"/>
          <w14:textFill>
            <w14:solidFill>
              <w14:schemeClr w14:val="tx1"/>
            </w14:solidFill>
          </w14:textFill>
        </w:rPr>
        <w:t>招标事宜。</w:t>
      </w:r>
      <w:r>
        <w:rPr>
          <w:rFonts w:hint="eastAsia" w:ascii="宋体" w:hAnsi="宋体" w:eastAsia="宋体"/>
          <w:color w:val="000000" w:themeColor="text1"/>
          <w:sz w:val="24"/>
          <w:szCs w:val="24"/>
          <w14:textFill>
            <w14:solidFill>
              <w14:schemeClr w14:val="tx1"/>
            </w14:solidFill>
          </w14:textFill>
        </w:rPr>
        <w:t>服务期限：1年，一项目一委托。合同期满后，采购单位可根据中标人履约情况自行决定是否续签，如续签，则第二年和第三年仍按照第一年合同的约定执行，可续签两次</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不超过三年</w:t>
      </w:r>
      <w:r>
        <w:rPr>
          <w:rFonts w:hint="eastAsia" w:ascii="宋体" w:hAnsi="宋体" w:eastAsia="宋体"/>
          <w:color w:val="000000" w:themeColor="text1"/>
          <w:sz w:val="24"/>
          <w:szCs w:val="24"/>
          <w14:textFill>
            <w14:solidFill>
              <w14:schemeClr w14:val="tx1"/>
            </w14:solidFill>
          </w14:textFill>
        </w:rPr>
        <w:t>。</w:t>
      </w:r>
    </w:p>
    <w:bookmarkEnd w:id="0"/>
    <w:bookmarkEnd w:id="1"/>
    <w:bookmarkEnd w:id="2"/>
    <w:bookmarkEnd w:id="3"/>
    <w:bookmarkEnd w:id="4"/>
    <w:bookmarkEnd w:id="5"/>
    <w:p w14:paraId="6FBB7791">
      <w:pPr>
        <w:spacing w:line="360" w:lineRule="auto"/>
        <w:ind w:firstLine="482" w:firstLineChars="200"/>
        <w:rPr>
          <w:rFonts w:ascii="宋体" w:hAnsi="宋体" w:eastAsia="宋体"/>
          <w:b/>
          <w:color w:val="000000" w:themeColor="text1"/>
          <w:sz w:val="24"/>
          <w:szCs w:val="24"/>
          <w14:textFill>
            <w14:solidFill>
              <w14:schemeClr w14:val="tx1"/>
            </w14:solidFill>
          </w14:textFill>
        </w:rPr>
      </w:pPr>
      <w:bookmarkStart w:id="6" w:name="_Toc28359080"/>
      <w:bookmarkStart w:id="7" w:name="_Toc28359003"/>
      <w:bookmarkStart w:id="8" w:name="_Toc35393791"/>
      <w:bookmarkStart w:id="9" w:name="_Toc32587"/>
      <w:bookmarkStart w:id="10" w:name="_Toc35393622"/>
      <w:r>
        <w:rPr>
          <w:rFonts w:hint="eastAsia" w:ascii="宋体" w:hAnsi="宋体" w:eastAsia="宋体"/>
          <w:b/>
          <w:color w:val="000000" w:themeColor="text1"/>
          <w:sz w:val="24"/>
          <w:szCs w:val="24"/>
          <w14:textFill>
            <w14:solidFill>
              <w14:schemeClr w14:val="tx1"/>
            </w14:solidFill>
          </w14:textFill>
        </w:rPr>
        <w:t>一、投标人的资格要求：</w:t>
      </w:r>
      <w:bookmarkEnd w:id="6"/>
      <w:bookmarkEnd w:id="7"/>
      <w:bookmarkEnd w:id="8"/>
      <w:bookmarkEnd w:id="9"/>
      <w:bookmarkEnd w:id="10"/>
    </w:p>
    <w:p w14:paraId="7A3DE28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1、投标人必须是在中华人民共和国境内注册的有合法经营资格的国内独立法人（证明文件：须提供营业执照复印件加盖投标人公章</w:t>
      </w:r>
      <w:r>
        <w:rPr>
          <w:rFonts w:hint="eastAsia" w:ascii="宋体" w:hAnsi="宋体" w:eastAsia="宋体"/>
          <w:color w:val="000000" w:themeColor="text1"/>
          <w:sz w:val="24"/>
          <w:szCs w:val="24"/>
          <w14:textFill>
            <w14:solidFill>
              <w14:schemeClr w14:val="tx1"/>
            </w14:solidFill>
          </w14:textFill>
        </w:rPr>
        <w:t>）；</w:t>
      </w:r>
    </w:p>
    <w:p w14:paraId="09593AC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投标人在“中国政府采购网"（http://www.ccgp.gov.cn/）及深圳市政府采购监管网”（zfcg.sz.gov.cn）中已进行采购代理机构备案登记，提供已在网站备案登记的截图或承诺（格式自拟）成交后在3个工作日内登记备案；</w:t>
      </w:r>
    </w:p>
    <w:p w14:paraId="50BEE75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符合中华人民共和国财政部和深圳市财政委员会关于诚信管理的要求，提供通过“信用中国”网（www.creditchina.gov.cn）、中国政府采购网（www.ccgp.gov.cn）、和“国家企业信用信息公示系统（ www.gsxt.gov.cn）”等3个官网的信用信息查询记</w:t>
      </w:r>
      <w:r>
        <w:rPr>
          <w:rFonts w:hint="eastAsia" w:ascii="宋体" w:hAnsi="宋体" w:eastAsia="宋体"/>
          <w:color w:val="000000" w:themeColor="text1"/>
          <w:sz w:val="24"/>
          <w:szCs w:val="24"/>
          <w14:textFill>
            <w14:solidFill>
              <w14:schemeClr w14:val="tx1"/>
            </w14:solidFill>
          </w14:textFill>
        </w:rPr>
        <w:t>录截图，查询时间为本项目发布公告之后且递交投标文件截止时间之前；</w:t>
      </w:r>
    </w:p>
    <w:p w14:paraId="5A78C3A5">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eastAsia="宋体" w:cs="Times New Roman"/>
          <w:b/>
          <w:color w:val="000000" w:themeColor="text1"/>
          <w:sz w:val="24"/>
          <w:szCs w:val="24"/>
          <w:u w:val="single"/>
          <w14:textFill>
            <w14:solidFill>
              <w14:schemeClr w14:val="tx1"/>
            </w14:solidFill>
          </w14:textFill>
        </w:rPr>
        <w:t>投标文件中提供承诺书原件</w:t>
      </w:r>
      <w:r>
        <w:rPr>
          <w:rFonts w:hint="eastAsia" w:ascii="宋体" w:hAnsi="宋体" w:eastAsia="宋体" w:cs="Times New Roman"/>
          <w:b/>
          <w:color w:val="000000" w:themeColor="text1"/>
          <w:sz w:val="24"/>
          <w:szCs w:val="24"/>
          <w14:textFill>
            <w14:solidFill>
              <w14:schemeClr w14:val="tx1"/>
            </w14:solidFill>
          </w14:textFill>
        </w:rPr>
        <w:t>，格式自拟）</w:t>
      </w:r>
      <w:r>
        <w:rPr>
          <w:rFonts w:hint="eastAsia" w:ascii="宋体" w:hAnsi="宋体" w:eastAsia="宋体"/>
          <w:color w:val="000000" w:themeColor="text1"/>
          <w:sz w:val="24"/>
          <w:szCs w:val="24"/>
          <w14:textFill>
            <w14:solidFill>
              <w14:schemeClr w14:val="tx1"/>
            </w14:solidFill>
          </w14:textFill>
        </w:rPr>
        <w:t>；</w:t>
      </w:r>
    </w:p>
    <w:p w14:paraId="2B52F98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参与政府采购项目投标的供应商近三年内无行贿犯罪记录（</w:t>
      </w:r>
      <w:r>
        <w:rPr>
          <w:rFonts w:hint="eastAsia" w:ascii="宋体" w:hAnsi="宋体" w:eastAsia="宋体" w:cs="Times New Roman"/>
          <w:b/>
          <w:color w:val="000000" w:themeColor="text1"/>
          <w:sz w:val="24"/>
          <w:szCs w:val="24"/>
          <w:u w:val="single"/>
          <w14:textFill>
            <w14:solidFill>
              <w14:schemeClr w14:val="tx1"/>
            </w14:solidFill>
          </w14:textFill>
        </w:rPr>
        <w:t>投标文件中提供承诺书原件</w:t>
      </w:r>
      <w:r>
        <w:rPr>
          <w:rFonts w:hint="eastAsia" w:ascii="宋体" w:hAnsi="宋体" w:eastAsia="宋体" w:cs="Times New Roman"/>
          <w:b/>
          <w:color w:val="000000" w:themeColor="text1"/>
          <w:sz w:val="24"/>
          <w:szCs w:val="24"/>
          <w14:textFill>
            <w14:solidFill>
              <w14:schemeClr w14:val="tx1"/>
            </w14:solidFill>
          </w14:textFill>
        </w:rPr>
        <w:t>，格式自拟</w:t>
      </w:r>
      <w:r>
        <w:rPr>
          <w:rFonts w:hint="eastAsia" w:ascii="宋体" w:hAnsi="宋体" w:eastAsia="宋体" w:cs="Times New Roman"/>
          <w:color w:val="000000" w:themeColor="text1"/>
          <w:sz w:val="24"/>
          <w:szCs w:val="24"/>
          <w14:textFill>
            <w14:solidFill>
              <w14:schemeClr w14:val="tx1"/>
            </w14:solidFill>
          </w14:textFill>
        </w:rPr>
        <w:t>）。</w:t>
      </w:r>
    </w:p>
    <w:p w14:paraId="2EF67B07">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本项目不接受联合体投标，不允许分包或转包（</w:t>
      </w:r>
      <w:r>
        <w:rPr>
          <w:rFonts w:hint="eastAsia" w:ascii="宋体" w:hAnsi="宋体" w:eastAsia="宋体" w:cs="Times New Roman"/>
          <w:b/>
          <w:color w:val="000000" w:themeColor="text1"/>
          <w:sz w:val="24"/>
          <w:szCs w:val="24"/>
          <w:u w:val="single"/>
          <w14:textFill>
            <w14:solidFill>
              <w14:schemeClr w14:val="tx1"/>
            </w14:solidFill>
          </w14:textFill>
        </w:rPr>
        <w:t>投标文件中提供承诺书原件</w:t>
      </w:r>
      <w:r>
        <w:rPr>
          <w:rFonts w:hint="eastAsia" w:ascii="宋体" w:hAnsi="宋体" w:eastAsia="宋体" w:cs="Times New Roman"/>
          <w:b/>
          <w:color w:val="000000" w:themeColor="text1"/>
          <w:sz w:val="24"/>
          <w:szCs w:val="24"/>
          <w14:textFill>
            <w14:solidFill>
              <w14:schemeClr w14:val="tx1"/>
            </w14:solidFill>
          </w14:textFill>
        </w:rPr>
        <w:t>，格式自拟</w:t>
      </w:r>
      <w:r>
        <w:rPr>
          <w:rFonts w:hint="eastAsia" w:ascii="宋体" w:hAnsi="宋体" w:eastAsia="宋体" w:cs="Times New Roman"/>
          <w:color w:val="000000" w:themeColor="text1"/>
          <w:sz w:val="24"/>
          <w:szCs w:val="24"/>
          <w14:textFill>
            <w14:solidFill>
              <w14:schemeClr w14:val="tx1"/>
            </w14:solidFill>
          </w14:textFill>
        </w:rPr>
        <w:t>）。</w:t>
      </w:r>
    </w:p>
    <w:p w14:paraId="1406AA83">
      <w:pPr>
        <w:spacing w:line="360" w:lineRule="auto"/>
        <w:ind w:firstLine="482" w:firstLineChars="200"/>
        <w:rPr>
          <w:rFonts w:ascii="宋体" w:hAnsi="宋体" w:eastAsia="宋体"/>
          <w:b/>
          <w:color w:val="000000" w:themeColor="text1"/>
          <w:sz w:val="24"/>
          <w:szCs w:val="24"/>
          <w14:textFill>
            <w14:solidFill>
              <w14:schemeClr w14:val="tx1"/>
            </w14:solidFill>
          </w14:textFill>
        </w:rPr>
      </w:pPr>
      <w:bookmarkStart w:id="11" w:name="_Toc28359081"/>
      <w:bookmarkStart w:id="12" w:name="_Toc35393623"/>
      <w:bookmarkStart w:id="13" w:name="_Toc35393792"/>
      <w:bookmarkStart w:id="14" w:name="_Toc18743"/>
      <w:bookmarkStart w:id="15" w:name="_Toc28359004"/>
      <w:r>
        <w:rPr>
          <w:rFonts w:hint="eastAsia" w:ascii="宋体" w:hAnsi="宋体" w:eastAsia="宋体"/>
          <w:b/>
          <w:color w:val="000000" w:themeColor="text1"/>
          <w:sz w:val="24"/>
          <w:szCs w:val="24"/>
          <w14:textFill>
            <w14:solidFill>
              <w14:schemeClr w14:val="tx1"/>
            </w14:solidFill>
          </w14:textFill>
        </w:rPr>
        <w:t>二、获取招标文件</w:t>
      </w:r>
      <w:bookmarkEnd w:id="11"/>
      <w:bookmarkEnd w:id="12"/>
      <w:bookmarkEnd w:id="13"/>
      <w:bookmarkEnd w:id="14"/>
      <w:bookmarkEnd w:id="15"/>
    </w:p>
    <w:p w14:paraId="5522830F">
      <w:pPr>
        <w:spacing w:line="360" w:lineRule="auto"/>
        <w:ind w:firstLine="539"/>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1、时间：</w:t>
      </w:r>
      <w:r>
        <w:rPr>
          <w:rFonts w:hint="eastAsia" w:ascii="宋体" w:hAnsi="宋体" w:eastAsia="宋体" w:cs="Times New Roman"/>
          <w:b/>
          <w:bCs/>
          <w:color w:val="FF0000"/>
          <w:sz w:val="24"/>
          <w:szCs w:val="24"/>
        </w:rPr>
        <w:t>202</w:t>
      </w:r>
      <w:r>
        <w:rPr>
          <w:rFonts w:hint="eastAsia" w:ascii="宋体" w:hAnsi="宋体" w:eastAsia="宋体" w:cs="Times New Roman"/>
          <w:b/>
          <w:bCs/>
          <w:color w:val="FF0000"/>
          <w:sz w:val="24"/>
          <w:szCs w:val="24"/>
          <w:lang w:val="en-US" w:eastAsia="zh-CN"/>
        </w:rPr>
        <w:t>5</w:t>
      </w:r>
      <w:r>
        <w:rPr>
          <w:rFonts w:hint="eastAsia" w:ascii="宋体" w:hAnsi="宋体" w:eastAsia="宋体" w:cs="Times New Roman"/>
          <w:b/>
          <w:bCs/>
          <w:color w:val="FF0000"/>
          <w:sz w:val="24"/>
          <w:szCs w:val="24"/>
        </w:rPr>
        <w:t>年0</w:t>
      </w:r>
      <w:r>
        <w:rPr>
          <w:rFonts w:hint="eastAsia" w:ascii="宋体" w:hAnsi="宋体" w:eastAsia="宋体" w:cs="Times New Roman"/>
          <w:b/>
          <w:bCs/>
          <w:color w:val="FF0000"/>
          <w:sz w:val="24"/>
          <w:szCs w:val="24"/>
          <w:lang w:val="en-US" w:eastAsia="zh-CN"/>
        </w:rPr>
        <w:t>5</w:t>
      </w:r>
      <w:r>
        <w:rPr>
          <w:rFonts w:hint="eastAsia" w:ascii="宋体" w:hAnsi="宋体" w:eastAsia="宋体" w:cs="Times New Roman"/>
          <w:b/>
          <w:bCs/>
          <w:color w:val="FF0000"/>
          <w:sz w:val="24"/>
          <w:szCs w:val="24"/>
        </w:rPr>
        <w:t>月</w:t>
      </w:r>
      <w:r>
        <w:rPr>
          <w:rFonts w:hint="eastAsia" w:ascii="宋体" w:hAnsi="宋体" w:eastAsia="宋体" w:cs="Times New Roman"/>
          <w:b/>
          <w:bCs/>
          <w:color w:val="FF0000"/>
          <w:sz w:val="24"/>
          <w:szCs w:val="24"/>
          <w:lang w:val="en-US" w:eastAsia="zh-CN"/>
        </w:rPr>
        <w:t>23</w:t>
      </w:r>
      <w:r>
        <w:rPr>
          <w:rFonts w:hint="eastAsia" w:ascii="宋体" w:hAnsi="宋体" w:eastAsia="宋体" w:cs="Times New Roman"/>
          <w:b/>
          <w:bCs/>
          <w:color w:val="FF0000"/>
          <w:sz w:val="24"/>
          <w:szCs w:val="24"/>
        </w:rPr>
        <w:t>日10时至202</w:t>
      </w:r>
      <w:r>
        <w:rPr>
          <w:rFonts w:hint="eastAsia" w:ascii="宋体" w:hAnsi="宋体" w:eastAsia="宋体" w:cs="Times New Roman"/>
          <w:b/>
          <w:bCs/>
          <w:color w:val="FF0000"/>
          <w:sz w:val="24"/>
          <w:szCs w:val="24"/>
          <w:lang w:val="en-US" w:eastAsia="zh-CN"/>
        </w:rPr>
        <w:t>5</w:t>
      </w:r>
      <w:r>
        <w:rPr>
          <w:rFonts w:hint="eastAsia" w:ascii="宋体" w:hAnsi="宋体" w:eastAsia="宋体" w:cs="Times New Roman"/>
          <w:b/>
          <w:bCs/>
          <w:color w:val="FF0000"/>
          <w:sz w:val="24"/>
          <w:szCs w:val="24"/>
        </w:rPr>
        <w:t>年0</w:t>
      </w:r>
      <w:r>
        <w:rPr>
          <w:rFonts w:hint="eastAsia" w:ascii="宋体" w:hAnsi="宋体" w:eastAsia="宋体" w:cs="Times New Roman"/>
          <w:b/>
          <w:bCs/>
          <w:color w:val="FF0000"/>
          <w:sz w:val="24"/>
          <w:szCs w:val="24"/>
          <w:lang w:val="en-US" w:eastAsia="zh-CN"/>
        </w:rPr>
        <w:t>6</w:t>
      </w:r>
      <w:r>
        <w:rPr>
          <w:rFonts w:hint="eastAsia" w:ascii="宋体" w:hAnsi="宋体" w:eastAsia="宋体" w:cs="Times New Roman"/>
          <w:b/>
          <w:bCs/>
          <w:color w:val="FF0000"/>
          <w:sz w:val="24"/>
          <w:szCs w:val="24"/>
        </w:rPr>
        <w:t>月</w:t>
      </w:r>
      <w:r>
        <w:rPr>
          <w:rFonts w:hint="eastAsia" w:ascii="宋体" w:hAnsi="宋体" w:eastAsia="宋体" w:cs="Times New Roman"/>
          <w:b/>
          <w:bCs/>
          <w:color w:val="FF0000"/>
          <w:sz w:val="24"/>
          <w:szCs w:val="24"/>
          <w:lang w:val="en-US" w:eastAsia="zh-CN"/>
        </w:rPr>
        <w:t>2</w:t>
      </w:r>
      <w:r>
        <w:rPr>
          <w:rFonts w:hint="eastAsia" w:ascii="宋体" w:hAnsi="宋体" w:eastAsia="宋体" w:cs="Times New Roman"/>
          <w:b/>
          <w:bCs/>
          <w:color w:val="FF0000"/>
          <w:sz w:val="24"/>
          <w:szCs w:val="24"/>
        </w:rPr>
        <w:t>日17时</w:t>
      </w:r>
      <w:r>
        <w:rPr>
          <w:rFonts w:hint="eastAsia" w:ascii="宋体" w:hAnsi="宋体" w:eastAsia="宋体" w:cs="Times New Roman"/>
          <w:color w:val="000000" w:themeColor="text1"/>
          <w:sz w:val="24"/>
          <w:szCs w:val="24"/>
          <w14:textFill>
            <w14:solidFill>
              <w14:schemeClr w14:val="tx1"/>
            </w14:solidFill>
          </w14:textFill>
        </w:rPr>
        <w:t>（北京时间）；</w:t>
      </w:r>
    </w:p>
    <w:p w14:paraId="1569CA85">
      <w:pPr>
        <w:spacing w:line="360" w:lineRule="auto"/>
        <w:ind w:firstLine="53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2、地点：深圳市南山区侨城东街6号综合楼60</w:t>
      </w: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室</w:t>
      </w:r>
    </w:p>
    <w:p w14:paraId="5136B37F">
      <w:pPr>
        <w:spacing w:line="360" w:lineRule="auto"/>
        <w:ind w:firstLine="482" w:firstLineChars="200"/>
        <w:rPr>
          <w:rFonts w:ascii="宋体" w:hAnsi="宋体" w:eastAsia="宋体"/>
          <w:b/>
          <w:color w:val="000000" w:themeColor="text1"/>
          <w:sz w:val="24"/>
          <w:szCs w:val="24"/>
          <w14:textFill>
            <w14:solidFill>
              <w14:schemeClr w14:val="tx1"/>
            </w14:solidFill>
          </w14:textFill>
        </w:rPr>
      </w:pPr>
      <w:bookmarkStart w:id="16" w:name="_Toc28359005"/>
      <w:bookmarkStart w:id="17" w:name="_Toc28359082"/>
      <w:bookmarkStart w:id="18" w:name="_Toc35393624"/>
      <w:bookmarkStart w:id="19" w:name="_Toc35393793"/>
      <w:bookmarkStart w:id="20" w:name="_Toc13895"/>
      <w:r>
        <w:rPr>
          <w:rFonts w:hint="eastAsia" w:ascii="宋体" w:hAnsi="宋体" w:eastAsia="宋体"/>
          <w:b/>
          <w:color w:val="000000" w:themeColor="text1"/>
          <w:sz w:val="24"/>
          <w:szCs w:val="24"/>
          <w14:textFill>
            <w14:solidFill>
              <w14:schemeClr w14:val="tx1"/>
            </w14:solidFill>
          </w14:textFill>
        </w:rPr>
        <w:t>三、提交投标文件</w:t>
      </w:r>
      <w:bookmarkEnd w:id="16"/>
      <w:bookmarkEnd w:id="17"/>
      <w:r>
        <w:rPr>
          <w:rFonts w:hint="eastAsia" w:ascii="宋体" w:hAnsi="宋体" w:eastAsia="宋体"/>
          <w:b/>
          <w:color w:val="000000" w:themeColor="text1"/>
          <w:sz w:val="24"/>
          <w:szCs w:val="24"/>
          <w14:textFill>
            <w14:solidFill>
              <w14:schemeClr w14:val="tx1"/>
            </w14:solidFill>
          </w14:textFill>
        </w:rPr>
        <w:t>截止时间和地点</w:t>
      </w:r>
      <w:bookmarkEnd w:id="18"/>
      <w:bookmarkEnd w:id="19"/>
      <w:bookmarkEnd w:id="20"/>
    </w:p>
    <w:p w14:paraId="67761632">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1、时间：</w:t>
      </w:r>
      <w:r>
        <w:rPr>
          <w:rFonts w:hint="eastAsia" w:ascii="宋体" w:hAnsi="宋体" w:eastAsia="宋体" w:cs="Times New Roman"/>
          <w:b/>
          <w:bCs/>
          <w:color w:val="FF0000"/>
          <w:sz w:val="24"/>
          <w:szCs w:val="24"/>
        </w:rPr>
        <w:t>202</w:t>
      </w:r>
      <w:r>
        <w:rPr>
          <w:rFonts w:hint="eastAsia" w:ascii="宋体" w:hAnsi="宋体" w:eastAsia="宋体" w:cs="Times New Roman"/>
          <w:b/>
          <w:bCs/>
          <w:color w:val="FF0000"/>
          <w:sz w:val="24"/>
          <w:szCs w:val="24"/>
          <w:lang w:val="en-US" w:eastAsia="zh-CN"/>
        </w:rPr>
        <w:t>5</w:t>
      </w:r>
      <w:r>
        <w:rPr>
          <w:rFonts w:hint="eastAsia" w:ascii="宋体" w:hAnsi="宋体" w:eastAsia="宋体" w:cs="Times New Roman"/>
          <w:b/>
          <w:bCs/>
          <w:color w:val="FF0000"/>
          <w:sz w:val="24"/>
          <w:szCs w:val="24"/>
        </w:rPr>
        <w:t>年0</w:t>
      </w:r>
      <w:r>
        <w:rPr>
          <w:rFonts w:hint="eastAsia" w:ascii="宋体" w:hAnsi="宋体" w:eastAsia="宋体" w:cs="Times New Roman"/>
          <w:b/>
          <w:bCs/>
          <w:color w:val="FF0000"/>
          <w:sz w:val="24"/>
          <w:szCs w:val="24"/>
          <w:lang w:val="en-US" w:eastAsia="zh-CN"/>
        </w:rPr>
        <w:t>6</w:t>
      </w:r>
      <w:r>
        <w:rPr>
          <w:rFonts w:hint="eastAsia" w:ascii="宋体" w:hAnsi="宋体" w:eastAsia="宋体" w:cs="Times New Roman"/>
          <w:b/>
          <w:bCs/>
          <w:color w:val="FF0000"/>
          <w:sz w:val="24"/>
          <w:szCs w:val="24"/>
        </w:rPr>
        <w:t>月</w:t>
      </w:r>
      <w:r>
        <w:rPr>
          <w:rFonts w:hint="eastAsia" w:ascii="宋体" w:hAnsi="宋体" w:eastAsia="宋体" w:cs="Times New Roman"/>
          <w:b/>
          <w:bCs/>
          <w:color w:val="FF0000"/>
          <w:sz w:val="24"/>
          <w:szCs w:val="24"/>
          <w:lang w:val="en-US" w:eastAsia="zh-CN"/>
        </w:rPr>
        <w:t>3</w:t>
      </w:r>
      <w:bookmarkStart w:id="22" w:name="_GoBack"/>
      <w:bookmarkEnd w:id="22"/>
      <w:r>
        <w:rPr>
          <w:rFonts w:hint="eastAsia" w:ascii="宋体" w:hAnsi="宋体" w:eastAsia="宋体" w:cs="Times New Roman"/>
          <w:b/>
          <w:bCs/>
          <w:color w:val="FF0000"/>
          <w:sz w:val="24"/>
          <w:szCs w:val="24"/>
        </w:rPr>
        <w:t>日</w:t>
      </w:r>
      <w:r>
        <w:rPr>
          <w:rFonts w:hint="eastAsia" w:ascii="宋体" w:hAnsi="宋体" w:eastAsia="宋体" w:cs="Times New Roman"/>
          <w:b/>
          <w:bCs/>
          <w:color w:val="FF0000"/>
          <w:sz w:val="24"/>
          <w:szCs w:val="24"/>
          <w:lang w:val="en-US" w:eastAsia="zh-CN"/>
        </w:rPr>
        <w:t>中午</w:t>
      </w:r>
      <w:r>
        <w:rPr>
          <w:rFonts w:hint="eastAsia" w:ascii="宋体" w:hAnsi="宋体" w:eastAsia="宋体" w:cs="Times New Roman"/>
          <w:b/>
          <w:bCs/>
          <w:color w:val="FF0000"/>
          <w:sz w:val="24"/>
          <w:szCs w:val="24"/>
        </w:rPr>
        <w:t>1</w:t>
      </w:r>
      <w:r>
        <w:rPr>
          <w:rFonts w:hint="eastAsia" w:ascii="宋体" w:hAnsi="宋体" w:eastAsia="宋体" w:cs="Times New Roman"/>
          <w:b/>
          <w:bCs/>
          <w:color w:val="FF0000"/>
          <w:sz w:val="24"/>
          <w:szCs w:val="24"/>
          <w:lang w:val="en-US" w:eastAsia="zh-CN"/>
        </w:rPr>
        <w:t>2</w:t>
      </w:r>
      <w:r>
        <w:rPr>
          <w:rFonts w:hint="eastAsia" w:ascii="宋体" w:hAnsi="宋体" w:eastAsia="宋体" w:cs="Times New Roman"/>
          <w:b/>
          <w:bCs/>
          <w:color w:val="FF0000"/>
          <w:sz w:val="24"/>
          <w:szCs w:val="24"/>
        </w:rPr>
        <w:t>点</w:t>
      </w:r>
      <w:r>
        <w:rPr>
          <w:rFonts w:hint="eastAsia" w:ascii="宋体" w:hAnsi="宋体" w:eastAsia="宋体" w:cs="Times New Roman"/>
          <w:color w:val="000000" w:themeColor="text1"/>
          <w:sz w:val="24"/>
          <w:szCs w:val="24"/>
          <w14:textFill>
            <w14:solidFill>
              <w14:schemeClr w14:val="tx1"/>
            </w14:solidFill>
          </w14:textFill>
        </w:rPr>
        <w:t>（北京时间）</w:t>
      </w:r>
    </w:p>
    <w:p w14:paraId="10A7E1C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2、地点：深圳市南山区侨城东街6号综合楼60</w:t>
      </w: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室</w:t>
      </w:r>
    </w:p>
    <w:p w14:paraId="4968B751">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四、联络人及方式：</w:t>
      </w:r>
    </w:p>
    <w:p w14:paraId="7CBB930E">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采购单位名称：暨南大学深圳旅游学院</w:t>
      </w:r>
    </w:p>
    <w:p w14:paraId="154E43F0">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联系人及方式：商老师   0755-26931892   18938075217</w:t>
      </w:r>
    </w:p>
    <w:p w14:paraId="6E3E16FA">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地址：深圳市南山区侨城东街6号综合楼60</w:t>
      </w: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室</w:t>
      </w:r>
    </w:p>
    <w:p w14:paraId="0EC08345">
      <w:pPr>
        <w:jc w:val="left"/>
        <w:rPr>
          <w:rFonts w:ascii="宋体" w:hAnsi="宋体" w:eastAsia="宋体"/>
          <w:b/>
          <w:color w:val="000000" w:themeColor="text1"/>
          <w:sz w:val="24"/>
          <w:szCs w:val="24"/>
          <w14:textFill>
            <w14:solidFill>
              <w14:schemeClr w14:val="tx1"/>
            </w14:solidFill>
          </w14:textFill>
        </w:rPr>
      </w:pPr>
    </w:p>
    <w:p w14:paraId="0BD59C70">
      <w:pPr>
        <w:spacing w:line="360" w:lineRule="auto"/>
        <w:jc w:val="center"/>
        <w:rPr>
          <w:rFonts w:ascii="宋体" w:hAnsi="宋体" w:eastAsia="宋体"/>
          <w:b/>
          <w:color w:val="000000" w:themeColor="text1"/>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423" w:charSpace="0"/>
        </w:sectPr>
      </w:pPr>
    </w:p>
    <w:p w14:paraId="74E4EC1B">
      <w:pPr>
        <w:spacing w:line="360" w:lineRule="auto"/>
        <w:jc w:val="center"/>
        <w:rPr>
          <w:rFonts w:ascii="宋体" w:hAnsi="宋体" w:eastAsia="宋体"/>
          <w:b/>
          <w:sz w:val="24"/>
          <w:szCs w:val="24"/>
        </w:rPr>
      </w:pPr>
      <w:r>
        <w:rPr>
          <w:rFonts w:hint="eastAsia" w:ascii="宋体" w:hAnsi="宋体" w:eastAsia="宋体"/>
          <w:b/>
          <w:sz w:val="24"/>
          <w:szCs w:val="24"/>
        </w:rPr>
        <w:t>社会代理机构遴选方案</w:t>
      </w:r>
    </w:p>
    <w:p w14:paraId="14FAD79D">
      <w:pPr>
        <w:pStyle w:val="12"/>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投标人资格要求</w:t>
      </w:r>
    </w:p>
    <w:p w14:paraId="627EC97E">
      <w:pPr>
        <w:spacing w:line="360" w:lineRule="auto"/>
        <w:ind w:firstLine="480" w:firstLineChars="200"/>
        <w:rPr>
          <w:rFonts w:ascii="宋体" w:hAnsi="宋体" w:eastAsia="宋体"/>
          <w:sz w:val="24"/>
          <w:szCs w:val="24"/>
        </w:rPr>
      </w:pPr>
      <w:r>
        <w:rPr>
          <w:rFonts w:hint="eastAsia" w:ascii="宋体" w:hAnsi="宋体" w:eastAsia="宋体" w:cs="Times New Roman"/>
          <w:sz w:val="24"/>
          <w:szCs w:val="24"/>
        </w:rPr>
        <w:t>1、投标人必须是在中华人民共和国境内注册的有合法经营资格的国内独立法人（证明文件：须提供营业执照复印件加盖投标人公章</w:t>
      </w:r>
      <w:r>
        <w:rPr>
          <w:rFonts w:hint="eastAsia" w:ascii="宋体" w:hAnsi="宋体" w:eastAsia="宋体"/>
          <w:sz w:val="24"/>
          <w:szCs w:val="24"/>
        </w:rPr>
        <w:t>）；</w:t>
      </w:r>
    </w:p>
    <w:p w14:paraId="0B5A71FE">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rPr>
        <w:t>投标人在“中国政府采购网"（http://www.ccgp.gov.cn/）及深圳市政府采购监管网”（zfcg.sz.gov.cn）中已进行采购代理机构备案登记，提供已在网站备案登记的截图或承诺（格式自拟）成交后在3个工作日内登记备案</w:t>
      </w:r>
      <w:r>
        <w:rPr>
          <w:rFonts w:hint="eastAsia" w:ascii="宋体" w:hAnsi="宋体" w:eastAsia="宋体"/>
          <w:sz w:val="24"/>
          <w:szCs w:val="24"/>
          <w:lang w:eastAsia="zh-CN"/>
        </w:rPr>
        <w:t>；</w:t>
      </w:r>
    </w:p>
    <w:p w14:paraId="73B5CB90">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eastAsia="宋体" w:cs="Times New Roman"/>
          <w:sz w:val="24"/>
          <w:szCs w:val="24"/>
        </w:rPr>
        <w:t>符合中华人民共和国财政部和深圳市财政委员会关于诚信管理的要求，提供通过“信用中国”网（www.creditchina.gov.cn）、中国政府采购网（www.ccgp.gov.cn）、和“国家企业信用信息公示系统（ www.gsxt.gov.cn）”等3个官网的信用信息查询记</w:t>
      </w:r>
      <w:r>
        <w:rPr>
          <w:rFonts w:hint="eastAsia" w:ascii="宋体" w:hAnsi="宋体" w:eastAsia="宋体"/>
          <w:sz w:val="24"/>
          <w:szCs w:val="24"/>
        </w:rPr>
        <w:t>录截图，查询时间为本项目发布公告之后且递交投标文件截止时间之前；</w:t>
      </w:r>
    </w:p>
    <w:p w14:paraId="06C9B695">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hint="eastAsia" w:ascii="宋体" w:hAnsi="宋体" w:eastAsia="宋体" w:cs="Times New Roman"/>
          <w:sz w:val="24"/>
          <w:szCs w:val="24"/>
        </w:rPr>
        <w:t>参与本项目投标前三年内，在经营活动中没有重大违法记录、以及不存在被有关部门禁止参与政府采购活动且在有效期内的情况（</w:t>
      </w:r>
      <w:r>
        <w:rPr>
          <w:rFonts w:hint="eastAsia" w:ascii="宋体" w:hAnsi="宋体" w:eastAsia="宋体" w:cs="Times New Roman"/>
          <w:b/>
          <w:sz w:val="24"/>
          <w:szCs w:val="24"/>
        </w:rPr>
        <w:t>投标文件中提供承诺书原件，格式自拟）</w:t>
      </w:r>
      <w:r>
        <w:rPr>
          <w:rFonts w:hint="eastAsia" w:ascii="宋体" w:hAnsi="宋体" w:eastAsia="宋体"/>
          <w:sz w:val="24"/>
          <w:szCs w:val="24"/>
        </w:rPr>
        <w:t>；</w:t>
      </w:r>
    </w:p>
    <w:p w14:paraId="5CD6EBBD">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cs="Times New Roman"/>
          <w:sz w:val="24"/>
          <w:szCs w:val="24"/>
        </w:rPr>
        <w:t>参与政府采购项目投标的供应商近三年内无行贿犯罪记录（</w:t>
      </w:r>
      <w:r>
        <w:rPr>
          <w:rFonts w:hint="eastAsia" w:ascii="宋体" w:hAnsi="宋体" w:eastAsia="宋体" w:cs="Times New Roman"/>
          <w:b/>
          <w:sz w:val="24"/>
          <w:szCs w:val="24"/>
        </w:rPr>
        <w:t>投标文件中提供承诺书原件，格式自拟</w:t>
      </w:r>
      <w:r>
        <w:rPr>
          <w:rFonts w:hint="eastAsia" w:ascii="宋体" w:hAnsi="宋体" w:eastAsia="宋体" w:cs="Times New Roman"/>
          <w:sz w:val="24"/>
          <w:szCs w:val="24"/>
        </w:rPr>
        <w:t>）。</w:t>
      </w:r>
    </w:p>
    <w:p w14:paraId="332EAB41">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6、</w:t>
      </w:r>
      <w:r>
        <w:rPr>
          <w:rFonts w:hint="eastAsia" w:ascii="宋体" w:hAnsi="宋体" w:eastAsia="宋体" w:cs="Times New Roman"/>
          <w:sz w:val="24"/>
          <w:szCs w:val="24"/>
        </w:rPr>
        <w:t>本项目不接受联合体投标，不允许分包或转包（</w:t>
      </w:r>
      <w:r>
        <w:rPr>
          <w:rFonts w:hint="eastAsia" w:ascii="宋体" w:hAnsi="宋体" w:eastAsia="宋体" w:cs="Times New Roman"/>
          <w:b/>
          <w:sz w:val="24"/>
          <w:szCs w:val="24"/>
          <w:u w:val="single"/>
        </w:rPr>
        <w:t>投标文件中提供承诺书原件</w:t>
      </w:r>
      <w:r>
        <w:rPr>
          <w:rFonts w:hint="eastAsia" w:ascii="宋体" w:hAnsi="宋体" w:eastAsia="宋体" w:cs="Times New Roman"/>
          <w:b/>
          <w:sz w:val="24"/>
          <w:szCs w:val="24"/>
        </w:rPr>
        <w:t>，格式自拟</w:t>
      </w:r>
      <w:r>
        <w:rPr>
          <w:rFonts w:hint="eastAsia" w:ascii="宋体" w:hAnsi="宋体" w:eastAsia="宋体" w:cs="Times New Roman"/>
          <w:sz w:val="24"/>
          <w:szCs w:val="24"/>
        </w:rPr>
        <w:t>）。</w:t>
      </w:r>
    </w:p>
    <w:p w14:paraId="20B3377F">
      <w:pPr>
        <w:spacing w:line="360" w:lineRule="auto"/>
        <w:ind w:firstLine="480" w:firstLineChars="200"/>
        <w:rPr>
          <w:rFonts w:ascii="宋体" w:hAnsi="宋体" w:eastAsia="宋体" w:cs="Times New Roman"/>
          <w:sz w:val="24"/>
          <w:szCs w:val="24"/>
        </w:rPr>
      </w:pPr>
    </w:p>
    <w:p w14:paraId="76C135EF">
      <w:pPr>
        <w:widowControl/>
        <w:spacing w:line="360" w:lineRule="auto"/>
        <w:jc w:val="left"/>
        <w:rPr>
          <w:rFonts w:ascii="宋体" w:hAnsi="宋体" w:eastAsia="宋体"/>
          <w:sz w:val="24"/>
          <w:szCs w:val="24"/>
        </w:rPr>
      </w:pPr>
      <w:r>
        <w:rPr>
          <w:rFonts w:ascii="宋体" w:hAnsi="宋体" w:eastAsia="宋体"/>
          <w:sz w:val="24"/>
          <w:szCs w:val="24"/>
        </w:rPr>
        <w:br w:type="page"/>
      </w:r>
    </w:p>
    <w:p w14:paraId="0293D768">
      <w:pPr>
        <w:pStyle w:val="12"/>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用户需求</w:t>
      </w:r>
    </w:p>
    <w:p w14:paraId="35A9445D">
      <w:pPr>
        <w:pStyle w:val="12"/>
        <w:spacing w:line="360" w:lineRule="auto"/>
        <w:ind w:left="480" w:firstLine="0" w:firstLineChars="0"/>
        <w:rPr>
          <w:rFonts w:ascii="宋体" w:hAnsi="宋体" w:eastAsia="宋体"/>
          <w:sz w:val="24"/>
          <w:szCs w:val="24"/>
        </w:rPr>
      </w:pPr>
      <w:r>
        <w:rPr>
          <w:rFonts w:hint="eastAsia" w:ascii="宋体" w:hAnsi="宋体" w:eastAsia="宋体"/>
          <w:sz w:val="24"/>
          <w:szCs w:val="24"/>
        </w:rPr>
        <w:t>1、</w:t>
      </w:r>
      <w:r>
        <w:rPr>
          <w:rFonts w:hint="eastAsia" w:ascii="宋体" w:hAnsi="宋体" w:eastAsia="宋体" w:cs="Times New Roman"/>
          <w:b/>
          <w:sz w:val="24"/>
          <w:szCs w:val="24"/>
        </w:rPr>
        <w:t>项目要求</w:t>
      </w:r>
    </w:p>
    <w:p w14:paraId="254CF79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w:t>
      </w:r>
      <w:r>
        <w:rPr>
          <w:rFonts w:hint="eastAsia" w:ascii="宋体" w:hAnsi="宋体" w:eastAsia="宋体" w:cs="Times New Roman"/>
          <w:color w:val="FF0000"/>
          <w:sz w:val="24"/>
          <w:szCs w:val="24"/>
        </w:rPr>
        <w:t>财政部</w:t>
      </w:r>
      <w:r>
        <w:rPr>
          <w:rFonts w:hint="eastAsia" w:ascii="宋体" w:hAnsi="宋体" w:eastAsia="宋体" w:cs="Times New Roman"/>
          <w:color w:val="FF0000"/>
          <w:sz w:val="24"/>
          <w:szCs w:val="24"/>
          <w:lang w:eastAsia="zh-CN"/>
        </w:rPr>
        <w:t>《</w:t>
      </w:r>
      <w:r>
        <w:rPr>
          <w:rFonts w:hint="eastAsia" w:ascii="宋体" w:hAnsi="宋体" w:eastAsia="宋体" w:cs="Times New Roman"/>
          <w:color w:val="FF0000"/>
          <w:sz w:val="24"/>
          <w:szCs w:val="24"/>
        </w:rPr>
        <w:t>关于印发</w:t>
      </w:r>
      <w:r>
        <w:rPr>
          <w:rFonts w:hint="eastAsia" w:ascii="宋体" w:hAnsi="宋体" w:eastAsia="宋体" w:cs="Times New Roman"/>
          <w:color w:val="FF0000"/>
          <w:sz w:val="24"/>
          <w:szCs w:val="24"/>
          <w:lang w:val="en-US" w:eastAsia="zh-CN"/>
        </w:rPr>
        <w:t>&lt;</w:t>
      </w:r>
      <w:r>
        <w:rPr>
          <w:rFonts w:hint="eastAsia" w:ascii="宋体" w:hAnsi="宋体" w:eastAsia="宋体" w:cs="Times New Roman"/>
          <w:color w:val="FF0000"/>
          <w:sz w:val="24"/>
          <w:szCs w:val="24"/>
        </w:rPr>
        <w:t>政府采购代理机构管理暂行办法</w:t>
      </w:r>
      <w:r>
        <w:rPr>
          <w:rFonts w:hint="eastAsia" w:ascii="宋体" w:hAnsi="宋体" w:eastAsia="宋体" w:cs="Times New Roman"/>
          <w:color w:val="FF0000"/>
          <w:sz w:val="24"/>
          <w:szCs w:val="24"/>
          <w:lang w:val="en-US" w:eastAsia="zh-CN"/>
        </w:rPr>
        <w:t>&gt;</w:t>
      </w:r>
      <w:r>
        <w:rPr>
          <w:rFonts w:hint="eastAsia" w:ascii="宋体" w:hAnsi="宋体" w:eastAsia="宋体" w:cs="Times New Roman"/>
          <w:color w:val="FF0000"/>
          <w:sz w:val="24"/>
          <w:szCs w:val="24"/>
        </w:rPr>
        <w:t>的通知</w:t>
      </w:r>
      <w:r>
        <w:rPr>
          <w:rFonts w:hint="eastAsia" w:ascii="宋体" w:hAnsi="宋体" w:eastAsia="宋体" w:cs="Times New Roman"/>
          <w:color w:val="FF0000"/>
          <w:sz w:val="24"/>
          <w:szCs w:val="24"/>
          <w:lang w:eastAsia="zh-CN"/>
        </w:rPr>
        <w:t>》</w:t>
      </w:r>
      <w:r>
        <w:rPr>
          <w:rFonts w:hint="eastAsia" w:ascii="宋体" w:hAnsi="宋体" w:eastAsia="宋体" w:cs="Times New Roman"/>
          <w:color w:val="FF0000"/>
          <w:sz w:val="24"/>
          <w:szCs w:val="24"/>
          <w:lang w:val="en-US" w:eastAsia="zh-CN"/>
        </w:rPr>
        <w:t>(</w:t>
      </w:r>
      <w:r>
        <w:rPr>
          <w:rFonts w:hint="eastAsia" w:ascii="宋体" w:hAnsi="宋体" w:eastAsia="宋体" w:cs="Times New Roman"/>
          <w:color w:val="FF0000"/>
          <w:sz w:val="24"/>
          <w:szCs w:val="24"/>
          <w:lang w:eastAsia="zh-CN"/>
        </w:rPr>
        <w:t>财库</w:t>
      </w:r>
      <w:r>
        <w:rPr>
          <w:rFonts w:hint="eastAsia" w:ascii="宋体" w:hAnsi="宋体" w:eastAsia="宋体" w:cs="Times New Roman"/>
          <w:color w:val="FF0000"/>
          <w:sz w:val="24"/>
          <w:szCs w:val="24"/>
        </w:rPr>
        <w:t>〔</w:t>
      </w:r>
      <w:r>
        <w:rPr>
          <w:rFonts w:hint="eastAsia" w:ascii="宋体" w:hAnsi="宋体" w:eastAsia="宋体" w:cs="Times New Roman"/>
          <w:color w:val="FF0000"/>
          <w:sz w:val="24"/>
          <w:szCs w:val="24"/>
          <w:lang w:eastAsia="zh-CN"/>
        </w:rPr>
        <w:t>2018</w:t>
      </w:r>
      <w:r>
        <w:rPr>
          <w:rFonts w:hint="eastAsia" w:ascii="宋体" w:hAnsi="宋体" w:eastAsia="宋体" w:cs="Times New Roman"/>
          <w:color w:val="FF0000"/>
          <w:sz w:val="24"/>
          <w:szCs w:val="24"/>
        </w:rPr>
        <w:t>〕</w:t>
      </w:r>
      <w:r>
        <w:rPr>
          <w:rFonts w:hint="eastAsia" w:ascii="宋体" w:hAnsi="宋体" w:eastAsia="宋体" w:cs="Times New Roman"/>
          <w:color w:val="FF0000"/>
          <w:sz w:val="24"/>
          <w:szCs w:val="24"/>
          <w:lang w:eastAsia="zh-CN"/>
        </w:rPr>
        <w:t>2号</w:t>
      </w:r>
      <w:r>
        <w:rPr>
          <w:rFonts w:hint="eastAsia" w:ascii="宋体" w:hAnsi="宋体" w:eastAsia="宋体" w:cs="Times New Roman"/>
          <w:color w:val="FF0000"/>
          <w:sz w:val="24"/>
          <w:szCs w:val="24"/>
          <w:lang w:val="en-US" w:eastAsia="zh-CN"/>
        </w:rPr>
        <w:t>)</w:t>
      </w:r>
      <w:r>
        <w:rPr>
          <w:rFonts w:hint="eastAsia" w:ascii="宋体" w:hAnsi="宋体" w:eastAsia="宋体" w:cs="Times New Roman"/>
          <w:sz w:val="24"/>
          <w:szCs w:val="24"/>
        </w:rPr>
        <w:t>自主择优选择社会采购代理机构的指导，现我单位通过公开招标的采购方式遴选出3家招标采购代理机构承接我单位在</w:t>
      </w:r>
      <w:r>
        <w:rPr>
          <w:rFonts w:hint="eastAsia" w:ascii="宋体" w:hAnsi="宋体" w:eastAsia="宋体" w:cs="Times New Roman"/>
          <w:color w:val="FF0000"/>
          <w:sz w:val="24"/>
          <w:szCs w:val="24"/>
        </w:rPr>
        <w:t>《国务院办公厅关于印发中央预算单位政府集中采购目录及标准（2020年版）的通知》(国办发〔2019〕55号)</w:t>
      </w:r>
      <w:r>
        <w:rPr>
          <w:rFonts w:hint="eastAsia" w:ascii="宋体" w:hAnsi="宋体" w:eastAsia="宋体" w:cs="Times New Roman"/>
          <w:sz w:val="24"/>
          <w:szCs w:val="24"/>
        </w:rPr>
        <w:t>中可由社会代理机构进行招标的项目的有关招标事宜。</w:t>
      </w:r>
    </w:p>
    <w:tbl>
      <w:tblPr>
        <w:tblStyle w:val="7"/>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10"/>
        <w:gridCol w:w="1311"/>
        <w:gridCol w:w="1870"/>
      </w:tblGrid>
      <w:tr w14:paraId="4180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FB33F65">
            <w:pPr>
              <w:spacing w:line="276" w:lineRule="auto"/>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3720" w:type="dxa"/>
          </w:tcPr>
          <w:p w14:paraId="4B9B814B">
            <w:pPr>
              <w:spacing w:line="276" w:lineRule="auto"/>
              <w:jc w:val="center"/>
              <w:rPr>
                <w:rFonts w:ascii="宋体" w:hAnsi="宋体" w:eastAsia="宋体" w:cs="Times New Roman"/>
                <w:b/>
                <w:bCs/>
                <w:sz w:val="24"/>
                <w:szCs w:val="24"/>
              </w:rPr>
            </w:pPr>
            <w:r>
              <w:rPr>
                <w:rFonts w:ascii="宋体" w:hAnsi="宋体" w:eastAsia="宋体" w:cs="Times New Roman"/>
                <w:b/>
                <w:bCs/>
                <w:sz w:val="24"/>
                <w:szCs w:val="24"/>
              </w:rPr>
              <w:t>项目名称</w:t>
            </w:r>
          </w:p>
        </w:tc>
        <w:tc>
          <w:tcPr>
            <w:tcW w:w="993" w:type="dxa"/>
          </w:tcPr>
          <w:p w14:paraId="60752122">
            <w:pPr>
              <w:spacing w:line="276" w:lineRule="auto"/>
              <w:jc w:val="center"/>
              <w:rPr>
                <w:rFonts w:ascii="宋体" w:hAnsi="宋体" w:eastAsia="宋体" w:cs="Times New Roman"/>
                <w:b/>
                <w:bCs/>
                <w:sz w:val="24"/>
                <w:szCs w:val="24"/>
              </w:rPr>
            </w:pPr>
            <w:r>
              <w:rPr>
                <w:rFonts w:ascii="宋体" w:hAnsi="宋体" w:eastAsia="宋体" w:cs="Times New Roman"/>
                <w:b/>
                <w:bCs/>
                <w:sz w:val="24"/>
                <w:szCs w:val="24"/>
              </w:rPr>
              <w:t>数量</w:t>
            </w:r>
          </w:p>
        </w:tc>
        <w:tc>
          <w:tcPr>
            <w:tcW w:w="1417" w:type="dxa"/>
          </w:tcPr>
          <w:p w14:paraId="634C0694">
            <w:pPr>
              <w:spacing w:line="276" w:lineRule="auto"/>
              <w:jc w:val="center"/>
              <w:rPr>
                <w:rFonts w:ascii="宋体" w:hAnsi="宋体" w:eastAsia="宋体" w:cs="Times New Roman"/>
                <w:b/>
                <w:bCs/>
                <w:sz w:val="24"/>
                <w:szCs w:val="24"/>
              </w:rPr>
            </w:pPr>
            <w:r>
              <w:rPr>
                <w:rFonts w:hint="eastAsia" w:ascii="宋体" w:hAnsi="宋体" w:eastAsia="宋体" w:cs="Times New Roman"/>
                <w:b/>
                <w:bCs/>
                <w:sz w:val="24"/>
                <w:szCs w:val="24"/>
              </w:rPr>
              <w:t>服务期</w:t>
            </w:r>
          </w:p>
        </w:tc>
      </w:tr>
      <w:tr w14:paraId="71B1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09" w:type="dxa"/>
            <w:vAlign w:val="center"/>
          </w:tcPr>
          <w:p w14:paraId="5E8AF136">
            <w:pPr>
              <w:spacing w:line="276" w:lineRule="auto"/>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3720" w:type="dxa"/>
            <w:vAlign w:val="center"/>
          </w:tcPr>
          <w:p w14:paraId="6F57C79B">
            <w:pPr>
              <w:spacing w:line="276" w:lineRule="auto"/>
              <w:jc w:val="center"/>
              <w:outlineLvl w:val="0"/>
              <w:rPr>
                <w:rFonts w:ascii="宋体" w:hAnsi="宋体" w:eastAsia="宋体" w:cs="Times New Roman"/>
                <w:sz w:val="24"/>
                <w:szCs w:val="24"/>
              </w:rPr>
            </w:pPr>
            <w:r>
              <w:rPr>
                <w:rFonts w:ascii="宋体" w:hAnsi="宋体" w:eastAsia="宋体" w:cs="Times New Roman"/>
                <w:sz w:val="24"/>
                <w:szCs w:val="24"/>
              </w:rPr>
              <w:t>招标代理机构资格招标</w:t>
            </w:r>
            <w:r>
              <w:rPr>
                <w:rFonts w:hint="eastAsia" w:ascii="宋体" w:hAnsi="宋体" w:eastAsia="宋体" w:cs="Times New Roman"/>
                <w:sz w:val="24"/>
                <w:szCs w:val="24"/>
              </w:rPr>
              <w:t>采购项目</w:t>
            </w:r>
          </w:p>
        </w:tc>
        <w:tc>
          <w:tcPr>
            <w:tcW w:w="993" w:type="dxa"/>
            <w:vAlign w:val="center"/>
          </w:tcPr>
          <w:p w14:paraId="0342E8AA">
            <w:pPr>
              <w:spacing w:line="276" w:lineRule="auto"/>
              <w:jc w:val="center"/>
              <w:rPr>
                <w:rFonts w:ascii="宋体" w:hAnsi="宋体" w:eastAsia="宋体" w:cs="Times New Roman"/>
                <w:bCs/>
                <w:sz w:val="24"/>
                <w:szCs w:val="24"/>
              </w:rPr>
            </w:pPr>
            <w:r>
              <w:rPr>
                <w:rFonts w:hint="eastAsia" w:ascii="宋体" w:hAnsi="宋体" w:eastAsia="宋体" w:cs="Times New Roman"/>
                <w:bCs/>
                <w:sz w:val="24"/>
                <w:szCs w:val="24"/>
              </w:rPr>
              <w:t xml:space="preserve">1项 </w:t>
            </w:r>
          </w:p>
        </w:tc>
        <w:tc>
          <w:tcPr>
            <w:tcW w:w="1417" w:type="dxa"/>
            <w:vAlign w:val="center"/>
          </w:tcPr>
          <w:p w14:paraId="3A5E5CB0">
            <w:pPr>
              <w:spacing w:line="276" w:lineRule="auto"/>
              <w:jc w:val="center"/>
              <w:rPr>
                <w:rFonts w:ascii="宋体" w:hAnsi="宋体" w:eastAsia="宋体" w:cs="Times New Roman"/>
                <w:bCs/>
                <w:sz w:val="24"/>
                <w:szCs w:val="24"/>
              </w:rPr>
            </w:pPr>
            <w:r>
              <w:rPr>
                <w:rFonts w:hint="eastAsia" w:ascii="宋体" w:hAnsi="宋体" w:eastAsia="宋体" w:cs="Times New Roman"/>
                <w:bCs/>
                <w:sz w:val="24"/>
                <w:szCs w:val="24"/>
              </w:rPr>
              <w:t>1年</w:t>
            </w:r>
          </w:p>
        </w:tc>
      </w:tr>
    </w:tbl>
    <w:p w14:paraId="26C9862C">
      <w:pPr>
        <w:spacing w:line="360" w:lineRule="auto"/>
        <w:ind w:firstLine="480" w:firstLineChars="200"/>
        <w:rPr>
          <w:rFonts w:ascii="宋体" w:hAnsi="宋体" w:eastAsia="宋体"/>
          <w:b/>
          <w:sz w:val="24"/>
          <w:szCs w:val="24"/>
        </w:rPr>
      </w:pPr>
      <w:r>
        <w:rPr>
          <w:rFonts w:ascii="宋体" w:hAnsi="宋体" w:eastAsia="宋体"/>
          <w:sz w:val="24"/>
          <w:szCs w:val="24"/>
        </w:rPr>
        <w:t>2、</w:t>
      </w:r>
      <w:r>
        <w:rPr>
          <w:rFonts w:hint="eastAsia" w:ascii="宋体" w:hAnsi="宋体" w:eastAsia="宋体" w:cs="Times New Roman"/>
          <w:b/>
          <w:sz w:val="24"/>
          <w:szCs w:val="24"/>
        </w:rPr>
        <w:t>技术要求</w:t>
      </w:r>
    </w:p>
    <w:p w14:paraId="4C994654">
      <w:pPr>
        <w:autoSpaceDE w:val="0"/>
        <w:autoSpaceDN w:val="0"/>
        <w:adjustRightInd w:val="0"/>
        <w:spacing w:line="360" w:lineRule="auto"/>
        <w:ind w:firstLine="482" w:firstLineChars="200"/>
        <w:jc w:val="left"/>
        <w:rPr>
          <w:rFonts w:ascii="宋体" w:hAnsi="宋体" w:eastAsia="宋体" w:cs="Times New Roman"/>
          <w:b/>
          <w:sz w:val="24"/>
          <w:szCs w:val="24"/>
        </w:rPr>
      </w:pPr>
      <w:r>
        <w:rPr>
          <w:rFonts w:hint="eastAsia" w:ascii="宋体" w:hAnsi="宋体" w:eastAsia="宋体" w:cs="宋体"/>
          <w:b/>
          <w:bCs/>
          <w:sz w:val="24"/>
          <w:szCs w:val="24"/>
        </w:rPr>
        <w:t>（1）</w:t>
      </w:r>
      <w:r>
        <w:rPr>
          <w:rFonts w:ascii="宋体" w:hAnsi="宋体" w:eastAsia="宋体" w:cs="Times New Roman"/>
          <w:b/>
          <w:color w:val="000000"/>
          <w:sz w:val="24"/>
          <w:szCs w:val="24"/>
        </w:rPr>
        <w:t>服务内容</w:t>
      </w:r>
    </w:p>
    <w:p w14:paraId="2AA9BEB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根据</w:t>
      </w:r>
      <w:r>
        <w:rPr>
          <w:rFonts w:hint="eastAsia" w:ascii="宋体" w:hAnsi="宋体" w:eastAsia="宋体" w:cs="Times New Roman"/>
          <w:color w:val="000000"/>
          <w:sz w:val="24"/>
          <w:szCs w:val="24"/>
        </w:rPr>
        <w:t>深圳市财政委员会和校区</w:t>
      </w:r>
      <w:r>
        <w:rPr>
          <w:rFonts w:ascii="宋体" w:hAnsi="宋体" w:eastAsia="宋体" w:cs="Times New Roman"/>
          <w:color w:val="000000"/>
          <w:sz w:val="24"/>
          <w:szCs w:val="24"/>
        </w:rPr>
        <w:t>的要求，提供与招标代理业务相关的服务，包括接受委托编制招标文件、发布政府采购相关信息公告、抽取评审专家、组织开评标、答复质疑和协助处理投诉等与政府采购活动有关服务性工作。</w:t>
      </w:r>
    </w:p>
    <w:p w14:paraId="6CD9D3E4">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宋体"/>
          <w:b/>
          <w:bCs/>
          <w:sz w:val="24"/>
          <w:szCs w:val="24"/>
        </w:rPr>
        <w:t>（2）</w:t>
      </w:r>
      <w:r>
        <w:rPr>
          <w:rFonts w:ascii="宋体" w:hAnsi="宋体" w:eastAsia="宋体" w:cs="Times New Roman"/>
          <w:b/>
          <w:color w:val="000000"/>
          <w:sz w:val="24"/>
          <w:szCs w:val="24"/>
        </w:rPr>
        <w:t>入围数量</w:t>
      </w:r>
    </w:p>
    <w:p w14:paraId="00B3403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本次招标代理机构服务招标入围数量为</w:t>
      </w:r>
      <w:r>
        <w:rPr>
          <w:rFonts w:hint="eastAsia" w:ascii="宋体" w:hAnsi="宋体" w:eastAsia="宋体"/>
          <w:color w:val="000000"/>
          <w:sz w:val="24"/>
          <w:szCs w:val="24"/>
        </w:rPr>
        <w:t>3家</w:t>
      </w:r>
      <w:r>
        <w:rPr>
          <w:rFonts w:ascii="宋体" w:hAnsi="宋体" w:eastAsia="宋体" w:cs="Times New Roman"/>
          <w:color w:val="000000"/>
          <w:sz w:val="24"/>
          <w:szCs w:val="24"/>
        </w:rPr>
        <w:t>。如作出有效投标的供应商家数为：3家，则</w:t>
      </w:r>
      <w:r>
        <w:rPr>
          <w:rFonts w:hint="eastAsia" w:ascii="宋体" w:hAnsi="宋体" w:eastAsia="宋体" w:cs="Times New Roman"/>
          <w:color w:val="000000"/>
          <w:sz w:val="24"/>
          <w:szCs w:val="24"/>
        </w:rPr>
        <w:t>3家</w:t>
      </w:r>
      <w:r>
        <w:rPr>
          <w:rFonts w:ascii="宋体" w:hAnsi="宋体" w:eastAsia="宋体" w:cs="Times New Roman"/>
          <w:color w:val="000000"/>
          <w:sz w:val="24"/>
          <w:szCs w:val="24"/>
        </w:rPr>
        <w:t>投标单位全部入围，即均为中标人。如作出有效投标的供应商不足3家，则本项目公开招标失败，将重新组织招标</w:t>
      </w:r>
      <w:r>
        <w:rPr>
          <w:rFonts w:hint="eastAsia" w:ascii="宋体" w:hAnsi="宋体" w:eastAsia="宋体" w:cs="Times New Roman"/>
          <w:color w:val="000000"/>
          <w:sz w:val="24"/>
          <w:szCs w:val="24"/>
        </w:rPr>
        <w:t>。</w:t>
      </w:r>
    </w:p>
    <w:p w14:paraId="538138D1">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w:t>
      </w:r>
      <w:r>
        <w:rPr>
          <w:rFonts w:hint="eastAsia" w:ascii="宋体" w:hAnsi="宋体" w:eastAsia="宋体"/>
          <w:b/>
          <w:color w:val="000000"/>
          <w:sz w:val="24"/>
          <w:szCs w:val="24"/>
        </w:rPr>
        <w:t>3</w:t>
      </w:r>
      <w:r>
        <w:rPr>
          <w:rFonts w:hint="eastAsia" w:ascii="宋体" w:hAnsi="宋体" w:eastAsia="宋体" w:cs="Times New Roman"/>
          <w:b/>
          <w:color w:val="000000"/>
          <w:sz w:val="24"/>
          <w:szCs w:val="24"/>
        </w:rPr>
        <w:t>）</w:t>
      </w:r>
      <w:r>
        <w:rPr>
          <w:rFonts w:ascii="宋体" w:hAnsi="宋体" w:eastAsia="宋体" w:cs="Times New Roman"/>
          <w:b/>
          <w:color w:val="000000"/>
          <w:sz w:val="24"/>
          <w:szCs w:val="24"/>
        </w:rPr>
        <w:t>采购方式及评标方法</w:t>
      </w:r>
    </w:p>
    <w:p w14:paraId="62EB862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本次项目通过公开招标的方式，评标采用综合评分法，由评标委员会按照招标文件中规定的各项因素进行量化打分，按综合评分结果由高到低的顺序排列入围供应商。</w:t>
      </w:r>
    </w:p>
    <w:p w14:paraId="3CF48297">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入围供应商的选取规则：符合资格要求及项目要求的，通过综合评分法得分由高到低的前</w:t>
      </w:r>
      <w:r>
        <w:rPr>
          <w:rFonts w:hint="eastAsia" w:ascii="宋体" w:hAnsi="宋体" w:eastAsia="宋体"/>
          <w:color w:val="000000"/>
          <w:sz w:val="24"/>
          <w:szCs w:val="24"/>
        </w:rPr>
        <w:t>3家</w:t>
      </w:r>
      <w:r>
        <w:rPr>
          <w:rFonts w:ascii="宋体" w:hAnsi="宋体" w:eastAsia="宋体"/>
          <w:color w:val="000000"/>
          <w:sz w:val="24"/>
          <w:szCs w:val="24"/>
        </w:rPr>
        <w:t>供应商入围。</w:t>
      </w:r>
      <w:r>
        <w:rPr>
          <w:rFonts w:hint="eastAsia" w:ascii="宋体" w:hAnsi="宋体" w:eastAsia="宋体"/>
          <w:color w:val="000000"/>
          <w:sz w:val="24"/>
          <w:szCs w:val="24"/>
        </w:rPr>
        <w:t>若出现排名</w:t>
      </w:r>
      <w:r>
        <w:rPr>
          <w:rFonts w:ascii="宋体" w:hAnsi="宋体" w:eastAsia="宋体" w:cs="Times New Roman"/>
          <w:color w:val="000000"/>
          <w:sz w:val="24"/>
          <w:szCs w:val="24"/>
        </w:rPr>
        <w:t>并列的供应商通过评审现场抽签的方式确定1名入围。</w:t>
      </w:r>
    </w:p>
    <w:p w14:paraId="3EE6BFFC">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w:t>
      </w:r>
      <w:r>
        <w:rPr>
          <w:rFonts w:hint="eastAsia" w:ascii="宋体" w:hAnsi="宋体" w:eastAsia="宋体"/>
          <w:b/>
          <w:color w:val="000000"/>
          <w:sz w:val="24"/>
          <w:szCs w:val="24"/>
        </w:rPr>
        <w:t>4</w:t>
      </w:r>
      <w:r>
        <w:rPr>
          <w:rFonts w:hint="eastAsia" w:ascii="宋体" w:hAnsi="宋体" w:eastAsia="宋体" w:cs="Times New Roman"/>
          <w:b/>
          <w:color w:val="000000"/>
          <w:sz w:val="24"/>
          <w:szCs w:val="24"/>
        </w:rPr>
        <w:t>）</w:t>
      </w:r>
      <w:r>
        <w:rPr>
          <w:rFonts w:ascii="宋体" w:hAnsi="宋体" w:eastAsia="宋体" w:cs="Times New Roman"/>
          <w:b/>
          <w:color w:val="000000"/>
          <w:sz w:val="24"/>
          <w:szCs w:val="24"/>
        </w:rPr>
        <w:t>使用方法</w:t>
      </w:r>
    </w:p>
    <w:p w14:paraId="4C8815D3">
      <w:pPr>
        <w:spacing w:line="360" w:lineRule="auto"/>
        <w:ind w:firstLine="480" w:firstLineChars="200"/>
        <w:rPr>
          <w:rFonts w:ascii="宋体" w:hAnsi="宋体" w:eastAsia="宋体"/>
          <w:sz w:val="24"/>
          <w:szCs w:val="24"/>
        </w:rPr>
      </w:pPr>
      <w:r>
        <w:rPr>
          <w:rFonts w:ascii="宋体" w:hAnsi="宋体" w:eastAsia="宋体" w:cs="Times New Roman"/>
          <w:sz w:val="24"/>
          <w:szCs w:val="24"/>
        </w:rPr>
        <w:t>入围供应商仅代表具备承接我</w:t>
      </w:r>
      <w:r>
        <w:rPr>
          <w:rFonts w:hint="eastAsia" w:ascii="宋体" w:hAnsi="宋体" w:eastAsia="宋体" w:cs="Times New Roman"/>
          <w:sz w:val="24"/>
          <w:szCs w:val="24"/>
        </w:rPr>
        <w:t>单位</w:t>
      </w:r>
      <w:r>
        <w:rPr>
          <w:rFonts w:hint="eastAsia" w:ascii="宋体" w:hAnsi="宋体" w:eastAsia="宋体" w:cs="Times New Roman"/>
          <w:color w:val="FF0000"/>
          <w:sz w:val="24"/>
          <w:szCs w:val="24"/>
        </w:rPr>
        <w:t>《国务院办公厅关于印发中央预算单位政府集中采购目录及标准（2020年版）的通知》(国办发〔2019〕55号)</w:t>
      </w:r>
      <w:r>
        <w:rPr>
          <w:rFonts w:ascii="宋体" w:hAnsi="宋体" w:eastAsia="宋体" w:cs="Times New Roman"/>
          <w:sz w:val="24"/>
          <w:szCs w:val="24"/>
        </w:rPr>
        <w:t>中可由代理机构进行招标的项目的</w:t>
      </w:r>
      <w:r>
        <w:rPr>
          <w:rFonts w:hint="eastAsia" w:ascii="宋体" w:hAnsi="宋体" w:eastAsia="宋体" w:cs="Times New Roman"/>
          <w:sz w:val="24"/>
          <w:szCs w:val="24"/>
        </w:rPr>
        <w:t>有关</w:t>
      </w:r>
      <w:r>
        <w:rPr>
          <w:rFonts w:ascii="宋体" w:hAnsi="宋体" w:eastAsia="宋体" w:cs="Times New Roman"/>
          <w:sz w:val="24"/>
          <w:szCs w:val="24"/>
        </w:rPr>
        <w:t>招标事宜</w:t>
      </w:r>
      <w:r>
        <w:rPr>
          <w:rFonts w:hint="eastAsia" w:ascii="宋体" w:hAnsi="宋体" w:eastAsia="宋体" w:cs="Times New Roman"/>
          <w:sz w:val="24"/>
          <w:szCs w:val="24"/>
        </w:rPr>
        <w:t>的资格。</w:t>
      </w:r>
    </w:p>
    <w:p w14:paraId="7C8D449F">
      <w:pPr>
        <w:spacing w:line="360" w:lineRule="auto"/>
        <w:ind w:firstLine="482" w:firstLineChars="200"/>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cs="Times New Roman"/>
          <w:b/>
          <w:color w:val="000000"/>
          <w:sz w:val="24"/>
          <w:szCs w:val="24"/>
        </w:rPr>
        <w:t>具体服务要求</w:t>
      </w:r>
    </w:p>
    <w:p w14:paraId="33D0BE2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项目服务范围</w:t>
      </w:r>
    </w:p>
    <w:p w14:paraId="2893B21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中标人应严格遵守政府采购的相关规定、遵循中华人民共和国政府采购和校区的各项操作规程来进行政府采购相关的招投标的组织及其他有关工作，主要工作内容如下：</w:t>
      </w:r>
    </w:p>
    <w:p w14:paraId="7DD7AA9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（1）按照国家有关法律、法规的规定，根据甲方提供的需求书，负责编制、印刷、发售、修改、澄清、解释采购文件的各项工作。</w:t>
      </w:r>
    </w:p>
    <w:p w14:paraId="6A73C2B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（2）负责实施甲方委托的采购事项。包括但不限于以下内容：</w:t>
      </w:r>
    </w:p>
    <w:p w14:paraId="7304C70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①</w:t>
      </w:r>
      <w:r>
        <w:rPr>
          <w:rFonts w:ascii="宋体" w:hAnsi="宋体" w:eastAsia="宋体" w:cs="Times New Roman"/>
          <w:color w:val="000000"/>
          <w:sz w:val="24"/>
          <w:szCs w:val="24"/>
        </w:rPr>
        <w:t>负责根据项目情况</w:t>
      </w:r>
      <w:r>
        <w:rPr>
          <w:rFonts w:hint="eastAsia" w:ascii="宋体" w:hAnsi="宋体" w:eastAsia="宋体" w:cs="Times New Roman"/>
          <w:color w:val="000000"/>
          <w:sz w:val="24"/>
          <w:szCs w:val="24"/>
        </w:rPr>
        <w:t>拟订采购方案，如采购范围、拟采用的招标方式、制定项目招标流程、进度安排、项目特点分析和解决预案等；</w:t>
      </w:r>
    </w:p>
    <w:p w14:paraId="22877B8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②严格按照甲方的工作时限要求反馈招标文件；</w:t>
      </w:r>
    </w:p>
    <w:p w14:paraId="7ABDB21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③及时与采购方当面审定招标文件关键内容；</w:t>
      </w:r>
    </w:p>
    <w:p w14:paraId="23DA9B2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④发布招标公告并负责接受投标人的报名并发放采购文件；</w:t>
      </w:r>
    </w:p>
    <w:p w14:paraId="4CE1274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⑤依法组评标小组，组织项目开标、评标等工作；</w:t>
      </w:r>
    </w:p>
    <w:p w14:paraId="76F89B3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⑥负责向甲方提交评委会出具的评审报告，按有关规定进行结果公示和发布中标信息；</w:t>
      </w:r>
    </w:p>
    <w:p w14:paraId="7A73AAD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⑦对项目采购结果进行招标效果评审；</w:t>
      </w:r>
    </w:p>
    <w:p w14:paraId="4415DDB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⑧及时将项目招标资料归档并移交甲方。</w:t>
      </w:r>
    </w:p>
    <w:p w14:paraId="168FEB9F">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⑨对评审过程和未进行公示的评审结果保密。</w:t>
      </w:r>
    </w:p>
    <w:p w14:paraId="7E22F37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⑩负责处理供应商的质疑。</w:t>
      </w:r>
    </w:p>
    <w:p w14:paraId="1C608C90">
      <w:pPr>
        <w:spacing w:line="360" w:lineRule="auto"/>
        <w:ind w:firstLine="480" w:firstLineChars="200"/>
        <w:rPr>
          <w:rFonts w:ascii="宋体" w:hAnsi="宋体" w:eastAsia="宋体" w:cs="Times New Roman"/>
          <w:color w:val="000000"/>
          <w:sz w:val="24"/>
          <w:szCs w:val="24"/>
        </w:rPr>
      </w:pPr>
      <w:r>
        <w:rPr>
          <w:rFonts w:ascii="Cambria Math" w:hAnsi="Cambria Math" w:eastAsia="宋体" w:cs="Cambria Math"/>
          <w:color w:val="000000"/>
          <w:sz w:val="24"/>
          <w:szCs w:val="24"/>
        </w:rPr>
        <w:t>⑪</w:t>
      </w:r>
      <w:r>
        <w:rPr>
          <w:rFonts w:hint="eastAsia" w:ascii="宋体" w:hAnsi="宋体" w:eastAsia="宋体" w:cs="Times New Roman"/>
          <w:color w:val="000000"/>
          <w:sz w:val="24"/>
          <w:szCs w:val="24"/>
        </w:rPr>
        <w:t>积极回复甲方在采购工作中遇到的相关问题。</w:t>
      </w:r>
    </w:p>
    <w:p w14:paraId="2D4147B1">
      <w:pPr>
        <w:spacing w:line="360" w:lineRule="auto"/>
        <w:ind w:firstLine="480" w:firstLineChars="200"/>
        <w:rPr>
          <w:rFonts w:ascii="宋体" w:hAnsi="宋体" w:eastAsia="宋体" w:cs="Times New Roman"/>
          <w:color w:val="000000"/>
          <w:sz w:val="24"/>
          <w:szCs w:val="24"/>
        </w:rPr>
      </w:pPr>
      <w:r>
        <w:rPr>
          <w:rFonts w:ascii="Cambria Math" w:hAnsi="Cambria Math" w:eastAsia="宋体" w:cs="Cambria Math"/>
          <w:color w:val="000000"/>
          <w:sz w:val="24"/>
          <w:szCs w:val="24"/>
        </w:rPr>
        <w:t>⑫</w:t>
      </w:r>
      <w:r>
        <w:rPr>
          <w:rFonts w:hint="eastAsia" w:ascii="宋体" w:hAnsi="宋体" w:eastAsia="宋体" w:cs="Times New Roman"/>
          <w:color w:val="000000"/>
          <w:sz w:val="24"/>
          <w:szCs w:val="24"/>
        </w:rPr>
        <w:t>积极协助甲方处理采购合同执行中遇到的相关问题。</w:t>
      </w:r>
    </w:p>
    <w:p w14:paraId="0DEBB24E">
      <w:pPr>
        <w:spacing w:line="360" w:lineRule="auto"/>
        <w:ind w:firstLine="480" w:firstLineChars="200"/>
        <w:rPr>
          <w:rFonts w:ascii="宋体" w:hAnsi="宋体" w:eastAsia="宋体" w:cs="Times New Roman"/>
          <w:color w:val="000000"/>
          <w:sz w:val="24"/>
          <w:szCs w:val="24"/>
        </w:rPr>
      </w:pPr>
      <w:r>
        <w:rPr>
          <w:rFonts w:ascii="Cambria Math" w:hAnsi="Cambria Math" w:eastAsia="宋体" w:cs="Cambria Math"/>
          <w:color w:val="000000"/>
          <w:sz w:val="24"/>
          <w:szCs w:val="24"/>
        </w:rPr>
        <w:t>⑬</w:t>
      </w:r>
      <w:r>
        <w:rPr>
          <w:rFonts w:hint="eastAsia" w:ascii="宋体" w:hAnsi="宋体" w:eastAsia="宋体" w:cs="Times New Roman"/>
          <w:color w:val="000000"/>
          <w:sz w:val="24"/>
          <w:szCs w:val="24"/>
        </w:rPr>
        <w:t>服务团队，应为我院设置专人进行业务对接；</w:t>
      </w:r>
    </w:p>
    <w:p w14:paraId="104B8525">
      <w:pPr>
        <w:spacing w:line="360" w:lineRule="auto"/>
        <w:ind w:firstLine="480" w:firstLineChars="200"/>
        <w:rPr>
          <w:rFonts w:ascii="宋体" w:hAnsi="宋体" w:eastAsia="宋体" w:cs="Times New Roman"/>
          <w:color w:val="000000"/>
          <w:sz w:val="24"/>
          <w:szCs w:val="24"/>
        </w:rPr>
      </w:pPr>
      <w:r>
        <w:rPr>
          <w:rFonts w:ascii="Cambria Math" w:hAnsi="Cambria Math" w:eastAsia="宋体" w:cs="Cambria Math"/>
          <w:color w:val="000000"/>
          <w:sz w:val="24"/>
          <w:szCs w:val="24"/>
        </w:rPr>
        <w:t>⑭</w:t>
      </w:r>
      <w:r>
        <w:rPr>
          <w:rFonts w:hint="eastAsia" w:ascii="宋体" w:hAnsi="宋体" w:eastAsia="宋体" w:cs="Times New Roman"/>
          <w:color w:val="000000"/>
          <w:sz w:val="24"/>
          <w:szCs w:val="24"/>
        </w:rPr>
        <w:t>办理其他甲方交办的相关事宜。</w:t>
      </w:r>
    </w:p>
    <w:p w14:paraId="1FC1889A">
      <w:pPr>
        <w:spacing w:line="360" w:lineRule="auto"/>
        <w:ind w:firstLine="480" w:firstLineChars="200"/>
        <w:rPr>
          <w:rFonts w:ascii="宋体" w:hAnsi="宋体" w:eastAsia="宋体" w:cs="Times New Roman"/>
          <w:color w:val="000000"/>
          <w:sz w:val="24"/>
          <w:szCs w:val="24"/>
        </w:rPr>
      </w:pPr>
      <w:r>
        <w:rPr>
          <w:rFonts w:ascii="Cambria Math" w:hAnsi="Cambria Math" w:eastAsia="宋体" w:cs="Cambria Math"/>
          <w:color w:val="000000"/>
          <w:sz w:val="24"/>
          <w:szCs w:val="24"/>
        </w:rPr>
        <w:t>⑮</w:t>
      </w:r>
      <w:r>
        <w:rPr>
          <w:rFonts w:hint="eastAsia" w:ascii="宋体" w:hAnsi="宋体" w:eastAsia="宋体" w:cs="Times New Roman"/>
          <w:color w:val="000000"/>
          <w:sz w:val="24"/>
          <w:szCs w:val="24"/>
        </w:rPr>
        <w:t>服务方式：由邀请方根据项目需要单独委托采购代理机构；采购代理机构依法接受采购人委托，组织采购活动；</w:t>
      </w:r>
    </w:p>
    <w:p w14:paraId="309AA02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开评标场地</w:t>
      </w:r>
    </w:p>
    <w:p w14:paraId="655FFA5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在深圳市有固定的开评标场地并配备有业务开展所需要的设施装备，文件档案管理规范有序。</w:t>
      </w:r>
    </w:p>
    <w:p w14:paraId="46C54DD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内控制度</w:t>
      </w:r>
    </w:p>
    <w:p w14:paraId="6A547C8D">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具有健全的企业运作模式、组织机构及完善的内部管理和控制制度。熟悉国家有关政府采购方面的法律、法规和政策。财务制度规范健全，依法纳税。可根据政府采购项目数量及情况及时调配人员，能及时根据</w:t>
      </w:r>
      <w:r>
        <w:rPr>
          <w:rFonts w:hint="eastAsia" w:ascii="宋体" w:hAnsi="宋体" w:eastAsia="宋体" w:cs="Times New Roman"/>
          <w:color w:val="000000"/>
          <w:sz w:val="24"/>
          <w:szCs w:val="24"/>
          <w:lang w:val="en-US" w:eastAsia="zh-CN"/>
        </w:rPr>
        <w:t>中华人民共和国财政部</w:t>
      </w:r>
      <w:r>
        <w:rPr>
          <w:rFonts w:hint="eastAsia" w:ascii="宋体" w:hAnsi="宋体" w:eastAsia="宋体" w:cs="Times New Roman"/>
          <w:color w:val="000000"/>
          <w:sz w:val="24"/>
          <w:szCs w:val="24"/>
        </w:rPr>
        <w:t>和校区</w:t>
      </w:r>
      <w:r>
        <w:rPr>
          <w:rFonts w:ascii="宋体" w:hAnsi="宋体" w:eastAsia="宋体" w:cs="Times New Roman"/>
          <w:color w:val="000000"/>
          <w:sz w:val="24"/>
          <w:szCs w:val="24"/>
        </w:rPr>
        <w:t>更新的相关操作规程、模板来进行工作培训。</w:t>
      </w:r>
    </w:p>
    <w:p w14:paraId="08661CF5">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ascii="宋体" w:hAnsi="宋体" w:eastAsia="宋体" w:cs="Times New Roman"/>
          <w:color w:val="000000"/>
          <w:sz w:val="24"/>
          <w:szCs w:val="24"/>
        </w:rPr>
        <w:t>规范廉洁</w:t>
      </w:r>
    </w:p>
    <w:p w14:paraId="2355853E">
      <w:pPr>
        <w:spacing w:line="360" w:lineRule="auto"/>
        <w:ind w:firstLine="480" w:firstLineChars="200"/>
        <w:rPr>
          <w:rFonts w:ascii="宋体" w:hAnsi="宋体" w:eastAsia="宋体"/>
          <w:color w:val="000000"/>
          <w:sz w:val="24"/>
          <w:szCs w:val="24"/>
        </w:rPr>
      </w:pPr>
      <w:r>
        <w:rPr>
          <w:rFonts w:ascii="宋体" w:hAnsi="宋体" w:eastAsia="宋体" w:cs="Times New Roman"/>
          <w:color w:val="000000"/>
          <w:sz w:val="24"/>
          <w:szCs w:val="24"/>
        </w:rPr>
        <w:t>具有良好的执业质量记录、职业道德记录和社会声誉。</w:t>
      </w:r>
    </w:p>
    <w:p w14:paraId="29D1B3BD">
      <w:pPr>
        <w:spacing w:line="360" w:lineRule="auto"/>
        <w:ind w:firstLine="482" w:firstLineChars="200"/>
        <w:rPr>
          <w:rFonts w:ascii="宋体" w:hAnsi="宋体" w:eastAsia="宋体"/>
          <w:b/>
          <w:color w:val="000000"/>
          <w:sz w:val="24"/>
          <w:szCs w:val="24"/>
        </w:rPr>
      </w:pPr>
      <w:r>
        <w:rPr>
          <w:rFonts w:ascii="宋体" w:hAnsi="宋体" w:eastAsia="宋体"/>
          <w:b/>
          <w:color w:val="000000"/>
          <w:sz w:val="24"/>
          <w:szCs w:val="24"/>
        </w:rPr>
        <w:t>（6）</w:t>
      </w:r>
      <w:r>
        <w:rPr>
          <w:rFonts w:ascii="宋体" w:hAnsi="宋体" w:eastAsia="宋体" w:cs="Times New Roman"/>
          <w:b/>
          <w:color w:val="000000"/>
          <w:sz w:val="24"/>
          <w:szCs w:val="24"/>
        </w:rPr>
        <w:t>管理及责任承担</w:t>
      </w:r>
    </w:p>
    <w:p w14:paraId="7351A3FE">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中标代理机构发生下列情形之一的，给予通报批评；情形情节严重的，停止</w:t>
      </w:r>
      <w:r>
        <w:rPr>
          <w:rFonts w:hint="eastAsia" w:ascii="宋体" w:hAnsi="宋体" w:eastAsia="宋体"/>
          <w:color w:val="000000"/>
          <w:sz w:val="24"/>
          <w:szCs w:val="24"/>
        </w:rPr>
        <w:t>一</w:t>
      </w:r>
      <w:r>
        <w:rPr>
          <w:rFonts w:ascii="宋体" w:hAnsi="宋体" w:eastAsia="宋体" w:cs="Times New Roman"/>
          <w:color w:val="000000"/>
          <w:sz w:val="24"/>
          <w:szCs w:val="24"/>
        </w:rPr>
        <w:t>至六个月的代理业务：</w:t>
      </w:r>
    </w:p>
    <w:p w14:paraId="3B21CAA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未在规定的平台上发布政府采购信息的；</w:t>
      </w:r>
    </w:p>
    <w:p w14:paraId="6FD629D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未经批准擅自改变采购方式的；</w:t>
      </w:r>
    </w:p>
    <w:p w14:paraId="32FCD6B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未在规定时间内对供应商质疑进行答复的；</w:t>
      </w:r>
    </w:p>
    <w:p w14:paraId="390AA78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ascii="宋体" w:hAnsi="宋体" w:eastAsia="宋体" w:cs="Times New Roman"/>
          <w:color w:val="000000"/>
          <w:sz w:val="24"/>
          <w:szCs w:val="24"/>
        </w:rPr>
        <w:t xml:space="preserve">超标准收取代理费或招标文件成本费的；  </w:t>
      </w:r>
    </w:p>
    <w:p w14:paraId="221ABF5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ascii="宋体" w:hAnsi="宋体" w:eastAsia="宋体" w:cs="Times New Roman"/>
          <w:color w:val="000000"/>
          <w:sz w:val="24"/>
          <w:szCs w:val="24"/>
        </w:rPr>
        <w:t>违反主管部门其他规定的。</w:t>
      </w:r>
    </w:p>
    <w:p w14:paraId="3262DD8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中标代理机构及其工作人员有下列情形之一的，终止其代理资格；涉嫌犯罪的，依法移送司法机关处理：</w:t>
      </w:r>
    </w:p>
    <w:p w14:paraId="195C9E2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隐匿、销毁应当保存的采购项目资料或者伪造、变造采购项目资料；</w:t>
      </w:r>
    </w:p>
    <w:p w14:paraId="6D408F6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索取、收受贿赂或其他不正当利益的；</w:t>
      </w:r>
    </w:p>
    <w:p w14:paraId="02A63D5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违反规定隐匿销毁应当保存的采购文件或者伪造、变造采购文件；</w:t>
      </w:r>
    </w:p>
    <w:p w14:paraId="07232B2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ascii="宋体" w:hAnsi="宋体" w:eastAsia="宋体" w:cs="Times New Roman"/>
          <w:color w:val="000000"/>
          <w:sz w:val="24"/>
          <w:szCs w:val="24"/>
        </w:rPr>
        <w:t>与其他采购参加人串通，内定中标或者成交供应商的；</w:t>
      </w:r>
    </w:p>
    <w:p w14:paraId="1FA924B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w:t>
      </w:r>
      <w:r>
        <w:rPr>
          <w:rFonts w:ascii="宋体" w:hAnsi="宋体" w:eastAsia="宋体" w:cs="Times New Roman"/>
          <w:color w:val="000000"/>
          <w:sz w:val="24"/>
          <w:szCs w:val="24"/>
        </w:rPr>
        <w:t>在有关部门依法实施监督检查中提供虚假情况的或者拒绝监督检查的；</w:t>
      </w:r>
    </w:p>
    <w:p w14:paraId="3E7611AF">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ascii="宋体" w:hAnsi="宋体" w:eastAsia="宋体" w:cs="Times New Roman"/>
          <w:color w:val="000000"/>
          <w:sz w:val="24"/>
          <w:szCs w:val="24"/>
        </w:rPr>
        <w:t>由于工作失误，给采购人、供应商造成重大经济损失或不良影响的。</w:t>
      </w:r>
    </w:p>
    <w:p w14:paraId="614973FD">
      <w:pPr>
        <w:spacing w:line="360" w:lineRule="auto"/>
        <w:ind w:firstLine="480" w:firstLineChars="200"/>
        <w:rPr>
          <w:rFonts w:ascii="宋体" w:hAnsi="宋体" w:eastAsia="宋体"/>
          <w:color w:val="000000"/>
          <w:sz w:val="24"/>
          <w:szCs w:val="24"/>
        </w:rPr>
      </w:pPr>
      <w:r>
        <w:rPr>
          <w:rFonts w:hint="eastAsia" w:ascii="宋体" w:hAnsi="宋体" w:eastAsia="宋体" w:cs="Times New Roman"/>
          <w:color w:val="000000"/>
          <w:sz w:val="24"/>
          <w:szCs w:val="24"/>
        </w:rPr>
        <w:t>7、</w:t>
      </w:r>
      <w:r>
        <w:rPr>
          <w:rFonts w:ascii="宋体" w:hAnsi="宋体" w:eastAsia="宋体" w:cs="Times New Roman"/>
          <w:color w:val="000000"/>
          <w:sz w:val="24"/>
          <w:szCs w:val="24"/>
        </w:rPr>
        <w:t>其他违反法律法规规定的行为。</w:t>
      </w:r>
    </w:p>
    <w:p w14:paraId="3EB0462C">
      <w:pPr>
        <w:spacing w:line="360" w:lineRule="auto"/>
        <w:ind w:firstLine="482" w:firstLineChars="200"/>
        <w:rPr>
          <w:rFonts w:ascii="宋体" w:hAnsi="宋体" w:eastAsia="宋体" w:cs="Times New Roman"/>
          <w:color w:val="000000"/>
          <w:sz w:val="24"/>
          <w:szCs w:val="24"/>
        </w:rPr>
      </w:pPr>
      <w:r>
        <w:rPr>
          <w:rFonts w:ascii="宋体" w:hAnsi="宋体" w:eastAsia="宋体"/>
          <w:b/>
          <w:color w:val="000000"/>
          <w:sz w:val="24"/>
          <w:szCs w:val="24"/>
        </w:rPr>
        <w:t>（7）</w:t>
      </w:r>
      <w:r>
        <w:rPr>
          <w:rFonts w:ascii="宋体" w:hAnsi="宋体" w:eastAsia="宋体" w:cs="Times New Roman"/>
          <w:b/>
          <w:bCs/>
          <w:color w:val="000000"/>
          <w:sz w:val="24"/>
          <w:szCs w:val="24"/>
        </w:rPr>
        <w:t>服务期限</w:t>
      </w:r>
    </w:p>
    <w:p w14:paraId="1757EABE">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本项目合同服务期限：一年。合同期满后，采购单位可根据中标人履约情况自行决定是否续签，如续签，则第二年和第三年仍按照第一年合同的约定执行，可续签两次</w:t>
      </w:r>
      <w:r>
        <w:rPr>
          <w:rFonts w:hint="eastAsia" w:ascii="宋体" w:hAnsi="宋体" w:eastAsia="宋体"/>
          <w:color w:val="FF0000"/>
          <w:sz w:val="24"/>
          <w:szCs w:val="24"/>
          <w:lang w:eastAsia="zh-CN"/>
        </w:rPr>
        <w:t>，</w:t>
      </w:r>
      <w:r>
        <w:rPr>
          <w:rFonts w:hint="eastAsia" w:ascii="宋体" w:hAnsi="宋体" w:eastAsia="宋体"/>
          <w:color w:val="FF0000"/>
          <w:sz w:val="24"/>
          <w:szCs w:val="24"/>
          <w:lang w:val="en-US" w:eastAsia="zh-CN"/>
        </w:rPr>
        <w:t>不超过三年</w:t>
      </w:r>
      <w:r>
        <w:rPr>
          <w:rFonts w:hint="eastAsia" w:ascii="宋体" w:hAnsi="宋体" w:eastAsia="宋体"/>
          <w:color w:val="FF0000"/>
          <w:sz w:val="24"/>
          <w:szCs w:val="24"/>
        </w:rPr>
        <w:t>。</w:t>
      </w:r>
    </w:p>
    <w:p w14:paraId="05D4802F">
      <w:pPr>
        <w:spacing w:line="360" w:lineRule="auto"/>
        <w:ind w:firstLine="482" w:firstLineChars="200"/>
        <w:rPr>
          <w:rFonts w:ascii="宋体" w:hAnsi="宋体" w:eastAsia="宋体" w:cs="Times New Roman"/>
          <w:b/>
          <w:sz w:val="24"/>
          <w:szCs w:val="24"/>
        </w:rPr>
      </w:pPr>
      <w:r>
        <w:rPr>
          <w:rFonts w:hint="eastAsia" w:ascii="宋体" w:hAnsi="宋体" w:eastAsia="宋体"/>
          <w:b/>
          <w:sz w:val="24"/>
          <w:szCs w:val="24"/>
        </w:rPr>
        <w:t>（</w:t>
      </w:r>
      <w:r>
        <w:rPr>
          <w:rFonts w:ascii="宋体" w:hAnsi="宋体" w:eastAsia="宋体"/>
          <w:b/>
          <w:sz w:val="24"/>
          <w:szCs w:val="24"/>
        </w:rPr>
        <w:t>8</w:t>
      </w:r>
      <w:r>
        <w:rPr>
          <w:rFonts w:hint="eastAsia" w:ascii="宋体" w:hAnsi="宋体" w:eastAsia="宋体"/>
          <w:b/>
          <w:sz w:val="24"/>
          <w:szCs w:val="24"/>
        </w:rPr>
        <w:t>）</w:t>
      </w:r>
      <w:r>
        <w:rPr>
          <w:rFonts w:hint="eastAsia" w:ascii="宋体" w:hAnsi="宋体" w:eastAsia="宋体" w:cs="Times New Roman"/>
          <w:b/>
          <w:sz w:val="24"/>
          <w:szCs w:val="24"/>
        </w:rPr>
        <w:t>招标代理服务费</w:t>
      </w:r>
    </w:p>
    <w:p w14:paraId="340A9F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收取采购文件制作费，采购代理服务费收取标准：</w:t>
      </w:r>
    </w:p>
    <w:p w14:paraId="5ABBE545">
      <w:pPr>
        <w:numPr>
          <w:ilvl w:val="0"/>
          <w:numId w:val="2"/>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单个委托采购项目总预算金额达 100 万元及以上的，收费标准参照中华人民共和国国家发展计划委员会颁发的计价格〔2002〕1980 号、发改办价格〔2003〕857 号及发改价格〔2011〕534 号文规定的标准费率下浮 20%收取；</w:t>
      </w:r>
    </w:p>
    <w:p w14:paraId="59EA622B">
      <w:pPr>
        <w:numPr>
          <w:ilvl w:val="0"/>
          <w:numId w:val="2"/>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单个委托采购项目总预算金额 100 万元以下的，收费标准参照中华人民共和国国家发展计划委员会颁发的计价格〔2002〕1980 号、发改办价格〔2003〕857 号及发改价格〔2011〕534 号文规定的标准费率收取，最低收费</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000元。</w:t>
      </w:r>
    </w:p>
    <w:p w14:paraId="7222D9A9">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w:t>
      </w:r>
      <w:r>
        <w:rPr>
          <w:rFonts w:hint="eastAsia" w:ascii="宋体" w:hAnsi="宋体" w:eastAsia="宋体"/>
          <w:b/>
          <w:color w:val="000000"/>
          <w:sz w:val="24"/>
          <w:szCs w:val="24"/>
        </w:rPr>
        <w:t>9</w:t>
      </w:r>
      <w:r>
        <w:rPr>
          <w:rFonts w:hint="eastAsia" w:ascii="宋体" w:hAnsi="宋体" w:eastAsia="宋体" w:cs="Times New Roman"/>
          <w:b/>
          <w:color w:val="000000"/>
          <w:sz w:val="24"/>
          <w:szCs w:val="24"/>
        </w:rPr>
        <w:t>）</w:t>
      </w:r>
      <w:r>
        <w:rPr>
          <w:rFonts w:ascii="宋体" w:hAnsi="宋体" w:eastAsia="宋体" w:cs="Times New Roman"/>
          <w:b/>
          <w:color w:val="000000"/>
          <w:sz w:val="24"/>
          <w:szCs w:val="24"/>
        </w:rPr>
        <w:t>考核机制</w:t>
      </w:r>
    </w:p>
    <w:p w14:paraId="26774BB1">
      <w:pPr>
        <w:spacing w:line="360" w:lineRule="auto"/>
        <w:ind w:firstLine="480" w:firstLineChars="200"/>
        <w:rPr>
          <w:rFonts w:ascii="宋体" w:hAnsi="宋体" w:eastAsia="宋体"/>
          <w:color w:val="000000"/>
          <w:sz w:val="24"/>
          <w:szCs w:val="24"/>
        </w:rPr>
      </w:pPr>
      <w:r>
        <w:rPr>
          <w:rFonts w:ascii="宋体" w:hAnsi="宋体" w:eastAsia="宋体" w:cs="Times New Roman"/>
          <w:color w:val="000000"/>
          <w:sz w:val="24"/>
          <w:szCs w:val="24"/>
        </w:rPr>
        <w:t>为促进入围社会采购代理机构依法、诚信履行政府采购项目代理服务承诺，营造公平竞争、诚实守信、忠实履约的市场环境，对入围社会采购代理机建立履约考核机制，实行不合格淘汰制度，并根据情节轻重，记入供应商诚信档案。在合同服务期内，根据</w:t>
      </w:r>
      <w:r>
        <w:rPr>
          <w:rFonts w:hint="eastAsia" w:ascii="宋体" w:hAnsi="宋体" w:eastAsia="宋体" w:cs="Times New Roman"/>
          <w:color w:val="000000"/>
          <w:sz w:val="24"/>
          <w:szCs w:val="24"/>
        </w:rPr>
        <w:t>校区各项目经办人</w:t>
      </w:r>
      <w:r>
        <w:rPr>
          <w:rFonts w:ascii="宋体" w:hAnsi="宋体" w:eastAsia="宋体" w:cs="Times New Roman"/>
          <w:color w:val="000000"/>
          <w:sz w:val="24"/>
          <w:szCs w:val="24"/>
        </w:rPr>
        <w:t>反馈的入围社会采购代理机构履约情况，对出现重大违法违规行为的代理机构予以剔除出库的处理。</w:t>
      </w:r>
    </w:p>
    <w:p w14:paraId="6D32789A">
      <w:pPr>
        <w:widowControl/>
        <w:jc w:val="left"/>
        <w:rPr>
          <w:rFonts w:ascii="宋体" w:hAnsi="宋体" w:eastAsia="宋体"/>
          <w:b/>
          <w:color w:val="000000"/>
          <w:sz w:val="24"/>
          <w:szCs w:val="24"/>
        </w:rPr>
      </w:pPr>
      <w:r>
        <w:rPr>
          <w:rFonts w:ascii="宋体" w:hAnsi="宋体" w:eastAsia="宋体"/>
          <w:b/>
          <w:color w:val="000000"/>
          <w:sz w:val="24"/>
          <w:szCs w:val="24"/>
        </w:rPr>
        <w:br w:type="page"/>
      </w:r>
    </w:p>
    <w:p w14:paraId="7693728C">
      <w:pPr>
        <w:rPr>
          <w:rFonts w:ascii="宋体" w:hAnsi="宋体" w:eastAsia="宋体"/>
          <w:b/>
          <w:color w:val="000000"/>
          <w:sz w:val="24"/>
          <w:szCs w:val="24"/>
        </w:rPr>
      </w:pPr>
      <w:r>
        <w:rPr>
          <w:rFonts w:hint="eastAsia" w:ascii="宋体" w:hAnsi="宋体" w:eastAsia="宋体"/>
          <w:b/>
          <w:color w:val="000000"/>
          <w:sz w:val="24"/>
          <w:szCs w:val="24"/>
        </w:rPr>
        <w:t>三、资格审查表</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328"/>
        <w:gridCol w:w="3456"/>
      </w:tblGrid>
      <w:tr w14:paraId="00A42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exact"/>
          <w:tblHeader/>
          <w:jc w:val="center"/>
        </w:trPr>
        <w:tc>
          <w:tcPr>
            <w:tcW w:w="491" w:type="pct"/>
            <w:tcBorders>
              <w:tl2br w:val="nil"/>
              <w:tr2bl w:val="nil"/>
            </w:tcBorders>
            <w:shd w:val="clear" w:color="auto" w:fill="E0E0E0"/>
            <w:vAlign w:val="center"/>
          </w:tcPr>
          <w:p w14:paraId="40093125">
            <w:pPr>
              <w:jc w:val="center"/>
              <w:rPr>
                <w:rFonts w:ascii="仿宋" w:hAnsi="仿宋" w:eastAsia="仿宋" w:cs="仿宋"/>
                <w:b/>
                <w:sz w:val="24"/>
                <w:szCs w:val="24"/>
              </w:rPr>
            </w:pPr>
            <w:r>
              <w:rPr>
                <w:rFonts w:hint="eastAsia" w:ascii="仿宋" w:hAnsi="仿宋" w:eastAsia="仿宋" w:cs="仿宋"/>
                <w:b/>
                <w:sz w:val="24"/>
                <w:szCs w:val="24"/>
              </w:rPr>
              <w:t>序号</w:t>
            </w:r>
          </w:p>
        </w:tc>
        <w:tc>
          <w:tcPr>
            <w:tcW w:w="2594" w:type="pct"/>
            <w:tcBorders>
              <w:tl2br w:val="nil"/>
              <w:tr2bl w:val="nil"/>
            </w:tcBorders>
            <w:shd w:val="clear" w:color="auto" w:fill="E0E0E0"/>
            <w:vAlign w:val="center"/>
          </w:tcPr>
          <w:p w14:paraId="7F897034">
            <w:pPr>
              <w:jc w:val="center"/>
              <w:rPr>
                <w:rFonts w:ascii="仿宋" w:hAnsi="仿宋" w:eastAsia="仿宋" w:cs="仿宋"/>
                <w:b/>
                <w:sz w:val="24"/>
                <w:szCs w:val="24"/>
              </w:rPr>
            </w:pPr>
            <w:r>
              <w:rPr>
                <w:rFonts w:hint="eastAsia" w:ascii="仿宋" w:hAnsi="仿宋" w:eastAsia="仿宋" w:cs="仿宋"/>
                <w:b/>
                <w:sz w:val="24"/>
                <w:szCs w:val="24"/>
              </w:rPr>
              <w:t>资格审查内容</w:t>
            </w:r>
          </w:p>
        </w:tc>
        <w:tc>
          <w:tcPr>
            <w:tcW w:w="1914" w:type="pct"/>
            <w:tcBorders>
              <w:tl2br w:val="nil"/>
              <w:tr2bl w:val="nil"/>
            </w:tcBorders>
            <w:shd w:val="clear" w:color="auto" w:fill="E0E0E0"/>
            <w:vAlign w:val="center"/>
          </w:tcPr>
          <w:p w14:paraId="5F4499A2">
            <w:pPr>
              <w:jc w:val="center"/>
              <w:rPr>
                <w:rFonts w:ascii="仿宋" w:hAnsi="仿宋" w:eastAsia="仿宋" w:cs="仿宋"/>
                <w:b/>
                <w:sz w:val="24"/>
                <w:szCs w:val="24"/>
              </w:rPr>
            </w:pPr>
            <w:r>
              <w:rPr>
                <w:rFonts w:hint="eastAsia" w:ascii="仿宋" w:hAnsi="仿宋" w:eastAsia="仿宋" w:cs="仿宋"/>
                <w:b/>
                <w:sz w:val="24"/>
                <w:szCs w:val="24"/>
              </w:rPr>
              <w:t>证明文件</w:t>
            </w:r>
          </w:p>
        </w:tc>
      </w:tr>
      <w:tr w14:paraId="58676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444B03F8">
            <w:pPr>
              <w:jc w:val="center"/>
              <w:rPr>
                <w:rFonts w:ascii="仿宋" w:hAnsi="仿宋" w:eastAsia="仿宋" w:cs="仿宋"/>
                <w:bCs/>
                <w:szCs w:val="21"/>
              </w:rPr>
            </w:pPr>
            <w:r>
              <w:rPr>
                <w:rFonts w:hint="eastAsia" w:ascii="仿宋" w:hAnsi="仿宋" w:eastAsia="仿宋" w:cs="仿宋"/>
                <w:bCs/>
                <w:szCs w:val="21"/>
              </w:rPr>
              <w:t>1</w:t>
            </w:r>
          </w:p>
        </w:tc>
        <w:tc>
          <w:tcPr>
            <w:tcW w:w="2594" w:type="pct"/>
            <w:tcBorders>
              <w:tl2br w:val="nil"/>
              <w:tr2bl w:val="nil"/>
            </w:tcBorders>
            <w:vAlign w:val="center"/>
          </w:tcPr>
          <w:p w14:paraId="57AF3FDB">
            <w:pPr>
              <w:rPr>
                <w:rFonts w:ascii="仿宋" w:hAnsi="仿宋" w:eastAsia="仿宋" w:cs="仿宋"/>
                <w:szCs w:val="21"/>
              </w:rPr>
            </w:pPr>
            <w:r>
              <w:rPr>
                <w:rFonts w:hint="eastAsia" w:ascii="宋体" w:hAnsi="宋体" w:eastAsia="宋体" w:cs="Times New Roman"/>
                <w:sz w:val="24"/>
                <w:szCs w:val="24"/>
              </w:rPr>
              <w:t>投标人必须是在中华人民共和国境内注册的有合法经营资格的国内独立法人</w:t>
            </w:r>
          </w:p>
        </w:tc>
        <w:tc>
          <w:tcPr>
            <w:tcW w:w="1914" w:type="pct"/>
            <w:tcBorders>
              <w:tl2br w:val="nil"/>
              <w:tr2bl w:val="nil"/>
            </w:tcBorders>
            <w:vAlign w:val="center"/>
          </w:tcPr>
          <w:p w14:paraId="460D37B9">
            <w:pPr>
              <w:rPr>
                <w:rFonts w:ascii="仿宋" w:hAnsi="仿宋" w:eastAsia="仿宋" w:cs="仿宋"/>
                <w:szCs w:val="21"/>
              </w:rPr>
            </w:pPr>
            <w:r>
              <w:rPr>
                <w:rFonts w:hint="eastAsia" w:ascii="宋体" w:hAnsi="宋体" w:eastAsia="宋体" w:cs="Times New Roman"/>
                <w:sz w:val="24"/>
                <w:szCs w:val="24"/>
              </w:rPr>
              <w:t>须提供营业执照复印件加盖投标人公章</w:t>
            </w:r>
          </w:p>
        </w:tc>
      </w:tr>
      <w:tr w14:paraId="192C2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7B6ED43A">
            <w:pPr>
              <w:jc w:val="center"/>
              <w:rPr>
                <w:rFonts w:ascii="仿宋" w:hAnsi="仿宋" w:eastAsia="仿宋" w:cs="仿宋"/>
                <w:bCs/>
                <w:szCs w:val="21"/>
              </w:rPr>
            </w:pPr>
            <w:r>
              <w:rPr>
                <w:rFonts w:hint="eastAsia" w:ascii="仿宋" w:hAnsi="仿宋" w:eastAsia="仿宋" w:cs="仿宋"/>
                <w:bCs/>
                <w:szCs w:val="21"/>
              </w:rPr>
              <w:t>2</w:t>
            </w:r>
          </w:p>
        </w:tc>
        <w:tc>
          <w:tcPr>
            <w:tcW w:w="2594" w:type="pct"/>
            <w:tcBorders>
              <w:tl2br w:val="nil"/>
              <w:tr2bl w:val="nil"/>
            </w:tcBorders>
            <w:vAlign w:val="center"/>
          </w:tcPr>
          <w:p w14:paraId="74615F63">
            <w:pPr>
              <w:rPr>
                <w:rFonts w:ascii="仿宋" w:hAnsi="仿宋" w:eastAsia="仿宋" w:cs="仿宋"/>
                <w:bCs/>
                <w:szCs w:val="21"/>
              </w:rPr>
            </w:pPr>
            <w:r>
              <w:rPr>
                <w:rFonts w:hint="eastAsia" w:ascii="宋体" w:hAnsi="宋体" w:eastAsia="宋体" w:cs="Times New Roman"/>
                <w:sz w:val="24"/>
                <w:szCs w:val="24"/>
              </w:rPr>
              <w:t>投标人在深圳市社会采购代理机构从业名录中</w:t>
            </w:r>
          </w:p>
        </w:tc>
        <w:tc>
          <w:tcPr>
            <w:tcW w:w="1914" w:type="pct"/>
            <w:tcBorders>
              <w:tl2br w:val="nil"/>
              <w:tr2bl w:val="nil"/>
            </w:tcBorders>
            <w:vAlign w:val="center"/>
          </w:tcPr>
          <w:p w14:paraId="77605933">
            <w:pPr>
              <w:rPr>
                <w:rFonts w:ascii="仿宋" w:hAnsi="仿宋" w:eastAsia="仿宋" w:cs="仿宋"/>
                <w:szCs w:val="21"/>
              </w:rPr>
            </w:pPr>
            <w:r>
              <w:rPr>
                <w:rFonts w:hint="eastAsia" w:ascii="宋体" w:hAnsi="宋体" w:eastAsia="宋体" w:cs="Times New Roman"/>
                <w:sz w:val="24"/>
                <w:szCs w:val="24"/>
                <w:lang w:val="en-US" w:eastAsia="zh-CN"/>
              </w:rPr>
              <w:t>提供</w:t>
            </w:r>
            <w:r>
              <w:rPr>
                <w:rFonts w:hint="eastAsia" w:ascii="宋体" w:hAnsi="宋体" w:eastAsia="宋体" w:cs="Times New Roman"/>
                <w:sz w:val="24"/>
                <w:szCs w:val="24"/>
              </w:rPr>
              <w:t>“深圳市政府采购监管网”（网址：zfcg.sz.gov.cn）查询到的已备案的深圳市社会采购代理机构（提供截图）或承诺（格式自拟）成交后在3个工作日内登记备案</w:t>
            </w:r>
          </w:p>
        </w:tc>
      </w:tr>
      <w:tr w14:paraId="3619B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3CD8E6C1">
            <w:pPr>
              <w:jc w:val="center"/>
              <w:rPr>
                <w:rFonts w:ascii="仿宋" w:hAnsi="仿宋" w:eastAsia="仿宋" w:cs="仿宋"/>
                <w:bCs/>
                <w:kern w:val="0"/>
                <w:szCs w:val="21"/>
              </w:rPr>
            </w:pPr>
            <w:r>
              <w:rPr>
                <w:rFonts w:hint="eastAsia" w:ascii="仿宋" w:hAnsi="仿宋" w:eastAsia="仿宋" w:cs="仿宋"/>
                <w:bCs/>
                <w:kern w:val="0"/>
                <w:szCs w:val="21"/>
              </w:rPr>
              <w:t>3</w:t>
            </w:r>
          </w:p>
        </w:tc>
        <w:tc>
          <w:tcPr>
            <w:tcW w:w="2594" w:type="pct"/>
            <w:tcBorders>
              <w:tl2br w:val="nil"/>
              <w:tr2bl w:val="nil"/>
            </w:tcBorders>
            <w:vAlign w:val="center"/>
          </w:tcPr>
          <w:p w14:paraId="71022CB5">
            <w:pPr>
              <w:rPr>
                <w:rFonts w:ascii="仿宋" w:hAnsi="仿宋" w:eastAsia="仿宋" w:cs="仿宋"/>
                <w:color w:val="000000"/>
                <w:szCs w:val="21"/>
              </w:rPr>
            </w:pPr>
            <w:r>
              <w:rPr>
                <w:rFonts w:hint="eastAsia" w:ascii="宋体" w:hAnsi="宋体" w:eastAsia="宋体" w:cs="Times New Roman"/>
                <w:sz w:val="24"/>
                <w:szCs w:val="24"/>
              </w:rPr>
              <w:t>符合中华人民共和国财政部和深圳市财政委员会关于诚信管理的要求</w:t>
            </w:r>
          </w:p>
        </w:tc>
        <w:tc>
          <w:tcPr>
            <w:tcW w:w="1914" w:type="pct"/>
            <w:tcBorders>
              <w:tl2br w:val="nil"/>
              <w:tr2bl w:val="nil"/>
            </w:tcBorders>
            <w:vAlign w:val="center"/>
          </w:tcPr>
          <w:p w14:paraId="2637B226">
            <w:pPr>
              <w:rPr>
                <w:rFonts w:ascii="仿宋" w:hAnsi="仿宋" w:eastAsia="宋体" w:cs="仿宋"/>
                <w:szCs w:val="21"/>
              </w:rPr>
            </w:pPr>
            <w:r>
              <w:rPr>
                <w:rFonts w:hint="eastAsia" w:ascii="宋体" w:hAnsi="宋体" w:eastAsia="宋体" w:cs="Times New Roman"/>
                <w:sz w:val="24"/>
                <w:szCs w:val="24"/>
              </w:rPr>
              <w:t>投标人在“中国政府采购网"（http://www.ccgp.gov.cn/）及深圳市政府采购监管网”（zfcg.sz.gov.cn）中已进行采购代理机构备案登记，提供已在网站备案登记的截图或承诺（格式自拟）成交后在3个工作日内登记备案。</w:t>
            </w:r>
          </w:p>
        </w:tc>
      </w:tr>
      <w:tr w14:paraId="76F00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1D5377B2">
            <w:pPr>
              <w:jc w:val="center"/>
              <w:rPr>
                <w:rFonts w:ascii="仿宋" w:hAnsi="仿宋" w:eastAsia="仿宋" w:cs="仿宋"/>
                <w:bCs/>
                <w:szCs w:val="21"/>
              </w:rPr>
            </w:pPr>
            <w:r>
              <w:rPr>
                <w:rFonts w:hint="eastAsia" w:ascii="仿宋" w:hAnsi="仿宋" w:eastAsia="仿宋" w:cs="仿宋"/>
                <w:bCs/>
                <w:szCs w:val="21"/>
              </w:rPr>
              <w:t>4</w:t>
            </w:r>
          </w:p>
        </w:tc>
        <w:tc>
          <w:tcPr>
            <w:tcW w:w="2594" w:type="pct"/>
            <w:tcBorders>
              <w:tl2br w:val="nil"/>
              <w:tr2bl w:val="nil"/>
            </w:tcBorders>
            <w:vAlign w:val="center"/>
          </w:tcPr>
          <w:p w14:paraId="703F0B03">
            <w:pPr>
              <w:rPr>
                <w:rFonts w:ascii="仿宋" w:hAnsi="仿宋" w:eastAsia="仿宋" w:cs="仿宋"/>
                <w:color w:val="00B050"/>
                <w:kern w:val="0"/>
                <w:szCs w:val="21"/>
              </w:rPr>
            </w:pPr>
            <w:r>
              <w:rPr>
                <w:rFonts w:hint="eastAsia" w:ascii="宋体" w:hAnsi="宋体" w:eastAsia="宋体" w:cs="Times New Roman"/>
                <w:sz w:val="24"/>
                <w:szCs w:val="24"/>
              </w:rPr>
              <w:t>参与本项目投标前三年内，在经营活动中没有重大违法记录、以及不存在被有关部门禁止参与政府采购活动且在有效期内的情况</w:t>
            </w:r>
          </w:p>
        </w:tc>
        <w:tc>
          <w:tcPr>
            <w:tcW w:w="1914" w:type="pct"/>
            <w:tcBorders>
              <w:tl2br w:val="nil"/>
              <w:tr2bl w:val="nil"/>
            </w:tcBorders>
            <w:vAlign w:val="center"/>
          </w:tcPr>
          <w:p w14:paraId="3452854A">
            <w:pPr>
              <w:rPr>
                <w:rFonts w:ascii="宋体" w:hAnsi="宋体" w:eastAsia="宋体" w:cs="Times New Roman"/>
                <w:sz w:val="24"/>
                <w:szCs w:val="24"/>
              </w:rPr>
            </w:pPr>
            <w:r>
              <w:rPr>
                <w:rFonts w:hint="eastAsia" w:ascii="宋体" w:hAnsi="宋体" w:eastAsia="宋体" w:cs="Times New Roman"/>
                <w:sz w:val="24"/>
                <w:szCs w:val="24"/>
              </w:rPr>
              <w:t>投标文件中提供承诺书原件，格式自拟</w:t>
            </w:r>
          </w:p>
        </w:tc>
      </w:tr>
      <w:tr w14:paraId="5733E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15AA01D0">
            <w:pPr>
              <w:jc w:val="center"/>
              <w:rPr>
                <w:rFonts w:ascii="仿宋" w:hAnsi="仿宋" w:eastAsia="仿宋" w:cs="仿宋"/>
                <w:bCs/>
                <w:szCs w:val="21"/>
              </w:rPr>
            </w:pPr>
            <w:r>
              <w:rPr>
                <w:rFonts w:hint="eastAsia" w:ascii="仿宋" w:hAnsi="仿宋" w:eastAsia="仿宋" w:cs="仿宋"/>
                <w:bCs/>
                <w:szCs w:val="21"/>
              </w:rPr>
              <w:t>5</w:t>
            </w:r>
          </w:p>
        </w:tc>
        <w:tc>
          <w:tcPr>
            <w:tcW w:w="2594" w:type="pct"/>
            <w:tcBorders>
              <w:tl2br w:val="nil"/>
              <w:tr2bl w:val="nil"/>
            </w:tcBorders>
            <w:vAlign w:val="center"/>
          </w:tcPr>
          <w:p w14:paraId="266814C5">
            <w:pPr>
              <w:rPr>
                <w:rFonts w:ascii="仿宋" w:hAnsi="仿宋" w:eastAsia="仿宋" w:cs="仿宋"/>
                <w:b/>
                <w:bCs/>
                <w:szCs w:val="21"/>
              </w:rPr>
            </w:pPr>
            <w:r>
              <w:rPr>
                <w:rFonts w:hint="eastAsia" w:ascii="宋体" w:hAnsi="宋体" w:eastAsia="宋体" w:cs="Times New Roman"/>
                <w:sz w:val="24"/>
                <w:szCs w:val="24"/>
              </w:rPr>
              <w:t>参与政府采购项目投标的供应商近三年内无行贿犯罪记录</w:t>
            </w:r>
          </w:p>
        </w:tc>
        <w:tc>
          <w:tcPr>
            <w:tcW w:w="1914" w:type="pct"/>
            <w:tcBorders>
              <w:tl2br w:val="nil"/>
              <w:tr2bl w:val="nil"/>
            </w:tcBorders>
            <w:vAlign w:val="center"/>
          </w:tcPr>
          <w:p w14:paraId="10423BAD">
            <w:pPr>
              <w:rPr>
                <w:rFonts w:ascii="宋体" w:hAnsi="宋体" w:eastAsia="宋体" w:cs="Times New Roman"/>
                <w:sz w:val="24"/>
                <w:szCs w:val="24"/>
              </w:rPr>
            </w:pPr>
            <w:r>
              <w:rPr>
                <w:rFonts w:hint="eastAsia" w:ascii="宋体" w:hAnsi="宋体" w:eastAsia="宋体" w:cs="Times New Roman"/>
                <w:sz w:val="24"/>
                <w:szCs w:val="24"/>
              </w:rPr>
              <w:t>投标文件中提供承诺书原件，格式自拟</w:t>
            </w:r>
          </w:p>
        </w:tc>
      </w:tr>
      <w:tr w14:paraId="4AF1D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1" w:type="pct"/>
            <w:tcBorders>
              <w:tl2br w:val="nil"/>
              <w:tr2bl w:val="nil"/>
            </w:tcBorders>
            <w:vAlign w:val="center"/>
          </w:tcPr>
          <w:p w14:paraId="4D1E43E5">
            <w:pPr>
              <w:jc w:val="center"/>
              <w:rPr>
                <w:rFonts w:ascii="仿宋" w:hAnsi="仿宋" w:eastAsia="仿宋" w:cs="仿宋"/>
                <w:bCs/>
                <w:szCs w:val="21"/>
              </w:rPr>
            </w:pPr>
            <w:r>
              <w:rPr>
                <w:rFonts w:hint="eastAsia" w:ascii="仿宋" w:hAnsi="仿宋" w:eastAsia="仿宋" w:cs="仿宋"/>
                <w:bCs/>
                <w:szCs w:val="21"/>
              </w:rPr>
              <w:t>6</w:t>
            </w:r>
          </w:p>
        </w:tc>
        <w:tc>
          <w:tcPr>
            <w:tcW w:w="2594" w:type="pct"/>
            <w:tcBorders>
              <w:tl2br w:val="nil"/>
              <w:tr2bl w:val="nil"/>
            </w:tcBorders>
            <w:vAlign w:val="center"/>
          </w:tcPr>
          <w:p w14:paraId="28AB2217">
            <w:pPr>
              <w:rPr>
                <w:rFonts w:ascii="仿宋" w:hAnsi="仿宋" w:eastAsia="仿宋" w:cs="仿宋"/>
                <w:szCs w:val="21"/>
              </w:rPr>
            </w:pPr>
            <w:r>
              <w:rPr>
                <w:rFonts w:hint="eastAsia" w:ascii="宋体" w:hAnsi="宋体" w:eastAsia="宋体" w:cs="Times New Roman"/>
                <w:sz w:val="24"/>
                <w:szCs w:val="24"/>
              </w:rPr>
              <w:t>本项目不接受联合体投标，不允许分包或转包。</w:t>
            </w:r>
          </w:p>
        </w:tc>
        <w:tc>
          <w:tcPr>
            <w:tcW w:w="1914" w:type="pct"/>
            <w:tcBorders>
              <w:tl2br w:val="nil"/>
              <w:tr2bl w:val="nil"/>
            </w:tcBorders>
            <w:vAlign w:val="center"/>
          </w:tcPr>
          <w:p w14:paraId="5FE921B0">
            <w:pPr>
              <w:rPr>
                <w:rFonts w:ascii="宋体" w:hAnsi="宋体" w:eastAsia="宋体" w:cs="Times New Roman"/>
                <w:sz w:val="24"/>
                <w:szCs w:val="24"/>
              </w:rPr>
            </w:pPr>
            <w:r>
              <w:rPr>
                <w:rFonts w:hint="eastAsia" w:ascii="宋体" w:hAnsi="宋体" w:eastAsia="宋体" w:cs="Times New Roman"/>
                <w:sz w:val="24"/>
                <w:szCs w:val="24"/>
              </w:rPr>
              <w:t>投标文件中提供承诺书原件，格式自拟</w:t>
            </w:r>
          </w:p>
        </w:tc>
      </w:tr>
    </w:tbl>
    <w:p w14:paraId="55FD121B">
      <w:pPr>
        <w:rPr>
          <w:rFonts w:ascii="宋体" w:hAnsi="宋体" w:eastAsia="宋体"/>
          <w:b/>
          <w:color w:val="000000"/>
          <w:sz w:val="24"/>
          <w:szCs w:val="24"/>
        </w:rPr>
      </w:pPr>
      <w:r>
        <w:rPr>
          <w:rFonts w:hint="eastAsia" w:ascii="宋体" w:hAnsi="宋体" w:eastAsia="宋体"/>
          <w:b/>
          <w:color w:val="000000"/>
          <w:sz w:val="24"/>
          <w:szCs w:val="24"/>
        </w:rPr>
        <w:br w:type="page"/>
      </w:r>
    </w:p>
    <w:p w14:paraId="2375AACD">
      <w:pPr>
        <w:pStyle w:val="12"/>
        <w:numPr>
          <w:ilvl w:val="255"/>
          <w:numId w:val="0"/>
        </w:numPr>
        <w:spacing w:line="360" w:lineRule="auto"/>
        <w:rPr>
          <w:rFonts w:ascii="宋体" w:hAnsi="宋体" w:eastAsia="宋体"/>
          <w:b/>
          <w:color w:val="000000"/>
          <w:sz w:val="24"/>
          <w:szCs w:val="24"/>
        </w:rPr>
      </w:pPr>
      <w:r>
        <w:rPr>
          <w:rFonts w:hint="eastAsia" w:ascii="宋体" w:hAnsi="宋体" w:eastAsia="宋体"/>
          <w:b/>
          <w:color w:val="000000"/>
          <w:sz w:val="24"/>
          <w:szCs w:val="24"/>
        </w:rPr>
        <w:t>四、评分表</w:t>
      </w:r>
    </w:p>
    <w:tbl>
      <w:tblPr>
        <w:tblStyle w:val="7"/>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1"/>
        <w:gridCol w:w="1013"/>
        <w:gridCol w:w="830"/>
        <w:gridCol w:w="4586"/>
      </w:tblGrid>
      <w:tr w14:paraId="529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3" w:type="dxa"/>
            <w:gridSpan w:val="4"/>
            <w:tcBorders>
              <w:top w:val="single" w:color="auto" w:sz="4" w:space="0"/>
              <w:left w:val="single" w:color="auto" w:sz="4" w:space="0"/>
              <w:bottom w:val="single" w:color="auto" w:sz="4" w:space="0"/>
              <w:right w:val="single" w:color="auto" w:sz="4" w:space="0"/>
            </w:tcBorders>
            <w:vAlign w:val="center"/>
          </w:tcPr>
          <w:p w14:paraId="142816B0">
            <w:pPr>
              <w:jc w:val="center"/>
              <w:rPr>
                <w:rFonts w:ascii="宋体" w:hAnsi="宋体" w:eastAsia="宋体" w:cs="Times New Roman"/>
                <w:b/>
                <w:bCs/>
                <w:sz w:val="24"/>
                <w:szCs w:val="24"/>
              </w:rPr>
            </w:pPr>
            <w:r>
              <w:rPr>
                <w:rFonts w:ascii="宋体" w:hAnsi="宋体" w:eastAsia="宋体" w:cs="Times New Roman"/>
                <w:b/>
                <w:bCs/>
                <w:sz w:val="24"/>
                <w:szCs w:val="24"/>
              </w:rPr>
              <w:t>评分项</w:t>
            </w:r>
          </w:p>
        </w:tc>
        <w:tc>
          <w:tcPr>
            <w:tcW w:w="4586" w:type="dxa"/>
            <w:tcBorders>
              <w:top w:val="single" w:color="auto" w:sz="4" w:space="0"/>
              <w:left w:val="single" w:color="auto" w:sz="4" w:space="0"/>
              <w:bottom w:val="single" w:color="auto" w:sz="4" w:space="0"/>
              <w:right w:val="single" w:color="auto" w:sz="4" w:space="0"/>
            </w:tcBorders>
            <w:vAlign w:val="center"/>
          </w:tcPr>
          <w:p w14:paraId="1A85668E">
            <w:pPr>
              <w:jc w:val="center"/>
              <w:rPr>
                <w:rFonts w:ascii="宋体" w:hAnsi="宋体" w:eastAsia="宋体" w:cs="Times New Roman"/>
                <w:b/>
                <w:bCs/>
                <w:sz w:val="24"/>
                <w:szCs w:val="24"/>
              </w:rPr>
            </w:pPr>
            <w:r>
              <w:rPr>
                <w:rFonts w:ascii="宋体" w:hAnsi="宋体" w:eastAsia="宋体" w:cs="Times New Roman"/>
                <w:b/>
                <w:bCs/>
                <w:sz w:val="24"/>
                <w:szCs w:val="24"/>
              </w:rPr>
              <w:t>权重</w:t>
            </w:r>
          </w:p>
        </w:tc>
      </w:tr>
      <w:tr w14:paraId="230A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3" w:type="dxa"/>
            <w:gridSpan w:val="4"/>
            <w:tcBorders>
              <w:top w:val="single" w:color="auto" w:sz="4" w:space="0"/>
              <w:left w:val="single" w:color="auto" w:sz="4" w:space="0"/>
              <w:bottom w:val="single" w:color="auto" w:sz="4" w:space="0"/>
              <w:right w:val="single" w:color="auto" w:sz="4" w:space="0"/>
            </w:tcBorders>
            <w:vAlign w:val="center"/>
          </w:tcPr>
          <w:p w14:paraId="194D9460">
            <w:pPr>
              <w:jc w:val="center"/>
              <w:rPr>
                <w:rFonts w:ascii="宋体" w:hAnsi="宋体" w:eastAsia="宋体" w:cs="Times New Roman"/>
                <w:b/>
                <w:sz w:val="24"/>
                <w:szCs w:val="24"/>
              </w:rPr>
            </w:pPr>
            <w:r>
              <w:rPr>
                <w:rFonts w:ascii="宋体" w:hAnsi="宋体" w:eastAsia="宋体" w:cs="Times New Roman"/>
                <w:b/>
                <w:sz w:val="24"/>
                <w:szCs w:val="24"/>
              </w:rPr>
              <w:t>技术</w:t>
            </w:r>
            <w:r>
              <w:rPr>
                <w:rFonts w:hint="eastAsia" w:ascii="宋体" w:hAnsi="宋体" w:eastAsia="宋体" w:cs="Times New Roman"/>
                <w:b/>
                <w:sz w:val="24"/>
                <w:szCs w:val="24"/>
              </w:rPr>
              <w:t>商务</w:t>
            </w:r>
            <w:r>
              <w:rPr>
                <w:rFonts w:ascii="宋体" w:hAnsi="宋体" w:eastAsia="宋体" w:cs="Times New Roman"/>
                <w:b/>
                <w:sz w:val="24"/>
                <w:szCs w:val="24"/>
              </w:rPr>
              <w:t>部分</w:t>
            </w:r>
          </w:p>
        </w:tc>
        <w:tc>
          <w:tcPr>
            <w:tcW w:w="4586" w:type="dxa"/>
            <w:tcBorders>
              <w:top w:val="single" w:color="auto" w:sz="4" w:space="0"/>
              <w:left w:val="single" w:color="auto" w:sz="4" w:space="0"/>
              <w:bottom w:val="single" w:color="auto" w:sz="4" w:space="0"/>
              <w:right w:val="single" w:color="auto" w:sz="4" w:space="0"/>
            </w:tcBorders>
            <w:vAlign w:val="center"/>
          </w:tcPr>
          <w:p w14:paraId="0FCF1B3E">
            <w:pPr>
              <w:jc w:val="center"/>
              <w:rPr>
                <w:rFonts w:ascii="宋体" w:hAnsi="宋体" w:eastAsia="宋体" w:cs="Times New Roman"/>
                <w:b/>
                <w:sz w:val="24"/>
                <w:szCs w:val="24"/>
              </w:rPr>
            </w:pPr>
            <w:r>
              <w:rPr>
                <w:rFonts w:hint="eastAsia" w:ascii="宋体" w:hAnsi="宋体" w:eastAsia="宋体"/>
                <w:b/>
                <w:sz w:val="24"/>
                <w:szCs w:val="24"/>
              </w:rPr>
              <w:t>100</w:t>
            </w:r>
          </w:p>
        </w:tc>
      </w:tr>
      <w:tr w14:paraId="15E7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F090274">
            <w:pPr>
              <w:jc w:val="center"/>
              <w:rPr>
                <w:rFonts w:ascii="宋体" w:hAnsi="宋体" w:eastAsia="宋体" w:cs="Times New Roman"/>
                <w:b/>
                <w:bCs/>
                <w:sz w:val="24"/>
                <w:szCs w:val="24"/>
              </w:rPr>
            </w:pPr>
            <w:r>
              <w:rPr>
                <w:rFonts w:ascii="宋体" w:hAnsi="宋体" w:eastAsia="宋体" w:cs="Times New Roman"/>
                <w:b/>
                <w:bCs/>
                <w:sz w:val="24"/>
                <w:szCs w:val="24"/>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41C42119">
            <w:pPr>
              <w:jc w:val="center"/>
              <w:rPr>
                <w:rFonts w:ascii="宋体" w:hAnsi="宋体" w:eastAsia="宋体" w:cs="Times New Roman"/>
                <w:b/>
                <w:bCs/>
                <w:sz w:val="24"/>
                <w:szCs w:val="24"/>
              </w:rPr>
            </w:pPr>
            <w:r>
              <w:rPr>
                <w:rFonts w:ascii="宋体" w:hAnsi="宋体" w:eastAsia="宋体" w:cs="Times New Roman"/>
                <w:b/>
                <w:bCs/>
                <w:sz w:val="24"/>
                <w:szCs w:val="24"/>
              </w:rPr>
              <w:t>评分因素</w:t>
            </w:r>
          </w:p>
        </w:tc>
        <w:tc>
          <w:tcPr>
            <w:tcW w:w="1013" w:type="dxa"/>
            <w:tcBorders>
              <w:top w:val="single" w:color="auto" w:sz="4" w:space="0"/>
              <w:left w:val="single" w:color="auto" w:sz="4" w:space="0"/>
              <w:bottom w:val="single" w:color="auto" w:sz="4" w:space="0"/>
              <w:right w:val="single" w:color="auto" w:sz="4" w:space="0"/>
            </w:tcBorders>
            <w:vAlign w:val="center"/>
          </w:tcPr>
          <w:p w14:paraId="08C161F1">
            <w:pPr>
              <w:jc w:val="center"/>
              <w:rPr>
                <w:rFonts w:ascii="宋体" w:hAnsi="宋体" w:eastAsia="宋体" w:cs="Times New Roman"/>
                <w:b/>
                <w:bCs/>
                <w:sz w:val="24"/>
                <w:szCs w:val="24"/>
              </w:rPr>
            </w:pPr>
            <w:r>
              <w:rPr>
                <w:rFonts w:ascii="宋体" w:hAnsi="宋体" w:eastAsia="宋体" w:cs="Times New Roman"/>
                <w:b/>
                <w:bCs/>
                <w:sz w:val="24"/>
                <w:szCs w:val="24"/>
              </w:rPr>
              <w:t>权重</w:t>
            </w:r>
          </w:p>
        </w:tc>
        <w:tc>
          <w:tcPr>
            <w:tcW w:w="830" w:type="dxa"/>
            <w:tcBorders>
              <w:top w:val="single" w:color="auto" w:sz="4" w:space="0"/>
              <w:left w:val="single" w:color="auto" w:sz="4" w:space="0"/>
              <w:bottom w:val="single" w:color="auto" w:sz="4" w:space="0"/>
              <w:right w:val="single" w:color="auto" w:sz="4" w:space="0"/>
            </w:tcBorders>
            <w:vAlign w:val="center"/>
          </w:tcPr>
          <w:p w14:paraId="02255944">
            <w:pPr>
              <w:jc w:val="center"/>
              <w:rPr>
                <w:rFonts w:ascii="宋体" w:hAnsi="宋体" w:eastAsia="宋体" w:cs="Times New Roman"/>
                <w:b/>
                <w:bCs/>
                <w:sz w:val="24"/>
                <w:szCs w:val="24"/>
              </w:rPr>
            </w:pPr>
            <w:r>
              <w:rPr>
                <w:rFonts w:ascii="宋体" w:hAnsi="宋体" w:eastAsia="宋体" w:cs="Times New Roman"/>
                <w:b/>
                <w:bCs/>
                <w:sz w:val="24"/>
                <w:szCs w:val="24"/>
              </w:rPr>
              <w:t>评分方式</w:t>
            </w:r>
          </w:p>
        </w:tc>
        <w:tc>
          <w:tcPr>
            <w:tcW w:w="4586" w:type="dxa"/>
            <w:tcBorders>
              <w:top w:val="single" w:color="auto" w:sz="4" w:space="0"/>
              <w:left w:val="single" w:color="auto" w:sz="4" w:space="0"/>
              <w:bottom w:val="single" w:color="auto" w:sz="4" w:space="0"/>
              <w:right w:val="single" w:color="auto" w:sz="4" w:space="0"/>
            </w:tcBorders>
            <w:vAlign w:val="center"/>
          </w:tcPr>
          <w:p w14:paraId="005A2364">
            <w:pPr>
              <w:jc w:val="center"/>
              <w:rPr>
                <w:rFonts w:ascii="宋体" w:hAnsi="宋体" w:eastAsia="宋体" w:cs="Times New Roman"/>
                <w:b/>
                <w:bCs/>
                <w:sz w:val="24"/>
                <w:szCs w:val="24"/>
              </w:rPr>
            </w:pPr>
            <w:r>
              <w:rPr>
                <w:rFonts w:ascii="宋体" w:hAnsi="宋体" w:eastAsia="宋体" w:cs="Times New Roman"/>
                <w:b/>
                <w:bCs/>
                <w:sz w:val="24"/>
                <w:szCs w:val="24"/>
              </w:rPr>
              <w:t>评分准则</w:t>
            </w:r>
          </w:p>
        </w:tc>
      </w:tr>
      <w:tr w14:paraId="79BA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FCA0D7">
            <w:pPr>
              <w:jc w:val="center"/>
              <w:rPr>
                <w:rFonts w:ascii="宋体" w:hAnsi="宋体" w:eastAsia="宋体" w:cs="Times New Roman"/>
                <w:sz w:val="24"/>
                <w:szCs w:val="24"/>
              </w:rPr>
            </w:pPr>
            <w:r>
              <w:rPr>
                <w:rFonts w:ascii="宋体" w:hAnsi="宋体" w:eastAsia="宋体" w:cs="Times New Roman"/>
                <w:sz w:val="24"/>
                <w:szCs w:val="24"/>
              </w:rPr>
              <w:t>1</w:t>
            </w:r>
          </w:p>
        </w:tc>
        <w:tc>
          <w:tcPr>
            <w:tcW w:w="931" w:type="dxa"/>
            <w:tcBorders>
              <w:top w:val="single" w:color="auto" w:sz="4" w:space="0"/>
              <w:left w:val="single" w:color="auto" w:sz="4" w:space="0"/>
              <w:bottom w:val="single" w:color="auto" w:sz="4" w:space="0"/>
              <w:right w:val="single" w:color="auto" w:sz="4" w:space="0"/>
            </w:tcBorders>
            <w:vAlign w:val="center"/>
          </w:tcPr>
          <w:p w14:paraId="1DD961ED">
            <w:pPr>
              <w:jc w:val="center"/>
              <w:rPr>
                <w:rFonts w:ascii="宋体" w:hAnsi="宋体" w:eastAsia="宋体" w:cs="Times New Roman"/>
                <w:sz w:val="24"/>
                <w:szCs w:val="24"/>
              </w:rPr>
            </w:pPr>
            <w:r>
              <w:rPr>
                <w:rFonts w:ascii="宋体" w:hAnsi="宋体" w:eastAsia="宋体" w:cs="Times New Roman"/>
                <w:sz w:val="24"/>
                <w:szCs w:val="24"/>
              </w:rPr>
              <w:t>招标代理服务方案</w:t>
            </w:r>
          </w:p>
        </w:tc>
        <w:tc>
          <w:tcPr>
            <w:tcW w:w="1013" w:type="dxa"/>
            <w:tcBorders>
              <w:top w:val="single" w:color="auto" w:sz="4" w:space="0"/>
              <w:left w:val="single" w:color="auto" w:sz="4" w:space="0"/>
              <w:bottom w:val="single" w:color="auto" w:sz="4" w:space="0"/>
              <w:right w:val="single" w:color="auto" w:sz="4" w:space="0"/>
            </w:tcBorders>
            <w:vAlign w:val="center"/>
          </w:tcPr>
          <w:p w14:paraId="7018E0BB">
            <w:pPr>
              <w:jc w:val="center"/>
              <w:rPr>
                <w:rFonts w:ascii="宋体" w:hAnsi="宋体" w:eastAsia="宋体" w:cs="Times New Roman"/>
                <w:sz w:val="24"/>
                <w:szCs w:val="24"/>
              </w:rPr>
            </w:pPr>
            <w:r>
              <w:rPr>
                <w:rFonts w:hint="eastAsia" w:ascii="宋体" w:hAnsi="宋体" w:eastAsia="宋体"/>
                <w:sz w:val="24"/>
                <w:szCs w:val="24"/>
              </w:rPr>
              <w:t>15</w:t>
            </w:r>
          </w:p>
        </w:tc>
        <w:tc>
          <w:tcPr>
            <w:tcW w:w="830" w:type="dxa"/>
            <w:tcBorders>
              <w:top w:val="single" w:color="auto" w:sz="4" w:space="0"/>
              <w:left w:val="single" w:color="auto" w:sz="4" w:space="0"/>
              <w:bottom w:val="single" w:color="auto" w:sz="4" w:space="0"/>
              <w:right w:val="single" w:color="auto" w:sz="4" w:space="0"/>
            </w:tcBorders>
            <w:vAlign w:val="center"/>
          </w:tcPr>
          <w:p w14:paraId="618893F1">
            <w:pPr>
              <w:jc w:val="center"/>
              <w:rPr>
                <w:rFonts w:ascii="宋体" w:hAnsi="宋体" w:eastAsia="宋体" w:cs="Times New Roman"/>
                <w:sz w:val="24"/>
                <w:szCs w:val="24"/>
              </w:rPr>
            </w:pPr>
            <w:r>
              <w:rPr>
                <w:rFonts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vAlign w:val="center"/>
          </w:tcPr>
          <w:p w14:paraId="670942AA">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以下三项累加计分：</w:t>
            </w:r>
          </w:p>
          <w:p w14:paraId="724181A4">
            <w:pPr>
              <w:numPr>
                <w:ilvl w:val="0"/>
                <w:numId w:val="3"/>
              </w:numPr>
              <w:spacing w:line="360" w:lineRule="auto"/>
              <w:rPr>
                <w:rFonts w:ascii="宋体" w:hAnsi="宋体" w:eastAsia="宋体" w:cs="Times New Roman"/>
                <w:sz w:val="24"/>
                <w:szCs w:val="24"/>
              </w:rPr>
            </w:pPr>
            <w:r>
              <w:rPr>
                <w:rFonts w:hint="eastAsia" w:ascii="宋体" w:hAnsi="宋体" w:eastAsia="宋体" w:cs="Times New Roman"/>
                <w:sz w:val="24"/>
                <w:szCs w:val="24"/>
              </w:rPr>
              <w:t>招标流程（6分）：横向比较招标流程方案，分档评分：评价为优得6分；良得3分；中得2分分数；差不得分。</w:t>
            </w:r>
          </w:p>
          <w:p w14:paraId="399B28E7">
            <w:pPr>
              <w:numPr>
                <w:ilvl w:val="0"/>
                <w:numId w:val="3"/>
              </w:numPr>
              <w:spacing w:line="360" w:lineRule="auto"/>
              <w:rPr>
                <w:rFonts w:ascii="宋体" w:hAnsi="宋体" w:eastAsia="宋体" w:cs="Times New Roman"/>
                <w:sz w:val="24"/>
                <w:szCs w:val="24"/>
              </w:rPr>
            </w:pPr>
            <w:r>
              <w:rPr>
                <w:rFonts w:hint="eastAsia" w:ascii="宋体" w:hAnsi="宋体" w:eastAsia="宋体" w:cs="Times New Roman"/>
                <w:sz w:val="24"/>
                <w:szCs w:val="24"/>
              </w:rPr>
              <w:t>服务质量（6分）：横向比较服务质量保证措施的可行性，分档评分：优得6分；良得3分；中得2分；差不得分。</w:t>
            </w:r>
          </w:p>
          <w:p w14:paraId="5DA0355E">
            <w:pPr>
              <w:numPr>
                <w:ilvl w:val="0"/>
                <w:numId w:val="3"/>
              </w:numPr>
              <w:spacing w:line="360" w:lineRule="auto"/>
              <w:rPr>
                <w:rFonts w:ascii="宋体" w:hAnsi="宋体" w:eastAsia="宋体" w:cs="Times New Roman"/>
                <w:sz w:val="24"/>
                <w:szCs w:val="24"/>
              </w:rPr>
            </w:pPr>
            <w:r>
              <w:rPr>
                <w:rFonts w:hint="eastAsia" w:ascii="宋体" w:hAnsi="宋体" w:eastAsia="宋体" w:cs="Times New Roman"/>
                <w:sz w:val="24"/>
                <w:szCs w:val="24"/>
              </w:rPr>
              <w:t>保密措施（3分）：横向比较保密措施严密性，分档评分：评价为优3分；良得1分；中得0.5分，差不得分。</w:t>
            </w:r>
          </w:p>
        </w:tc>
      </w:tr>
      <w:tr w14:paraId="582E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87CFE5">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31" w:type="dxa"/>
            <w:tcBorders>
              <w:top w:val="single" w:color="auto" w:sz="4" w:space="0"/>
              <w:left w:val="single" w:color="auto" w:sz="4" w:space="0"/>
              <w:bottom w:val="single" w:color="auto" w:sz="4" w:space="0"/>
              <w:right w:val="single" w:color="auto" w:sz="4" w:space="0"/>
            </w:tcBorders>
            <w:vAlign w:val="center"/>
          </w:tcPr>
          <w:p w14:paraId="46012752">
            <w:pPr>
              <w:jc w:val="center"/>
              <w:rPr>
                <w:rFonts w:ascii="宋体" w:hAnsi="宋体" w:eastAsia="宋体" w:cs="Times New Roman"/>
                <w:sz w:val="24"/>
                <w:szCs w:val="24"/>
              </w:rPr>
            </w:pPr>
            <w:r>
              <w:rPr>
                <w:rFonts w:hint="eastAsia" w:ascii="宋体" w:hAnsi="宋体" w:eastAsia="宋体" w:cs="Times New Roman"/>
                <w:sz w:val="24"/>
                <w:szCs w:val="24"/>
              </w:rPr>
              <w:t>避免及处理异议投诉的措施</w:t>
            </w:r>
          </w:p>
        </w:tc>
        <w:tc>
          <w:tcPr>
            <w:tcW w:w="1013" w:type="dxa"/>
            <w:tcBorders>
              <w:top w:val="single" w:color="auto" w:sz="4" w:space="0"/>
              <w:left w:val="single" w:color="auto" w:sz="4" w:space="0"/>
              <w:bottom w:val="single" w:color="auto" w:sz="4" w:space="0"/>
              <w:right w:val="single" w:color="auto" w:sz="4" w:space="0"/>
            </w:tcBorders>
            <w:vAlign w:val="center"/>
          </w:tcPr>
          <w:p w14:paraId="71670626">
            <w:pPr>
              <w:jc w:val="center"/>
              <w:rPr>
                <w:rFonts w:ascii="宋体" w:hAnsi="宋体" w:eastAsia="宋体" w:cs="Times New Roman"/>
                <w:sz w:val="24"/>
                <w:szCs w:val="24"/>
              </w:rPr>
            </w:pPr>
            <w:r>
              <w:rPr>
                <w:rFonts w:hint="eastAsia" w:ascii="宋体" w:hAnsi="宋体" w:eastAsia="宋体"/>
                <w:sz w:val="24"/>
                <w:szCs w:val="24"/>
              </w:rPr>
              <w:t>6</w:t>
            </w:r>
          </w:p>
        </w:tc>
        <w:tc>
          <w:tcPr>
            <w:tcW w:w="830" w:type="dxa"/>
            <w:tcBorders>
              <w:top w:val="single" w:color="auto" w:sz="4" w:space="0"/>
              <w:left w:val="single" w:color="auto" w:sz="4" w:space="0"/>
              <w:bottom w:val="single" w:color="auto" w:sz="4" w:space="0"/>
              <w:right w:val="single" w:color="auto" w:sz="4" w:space="0"/>
            </w:tcBorders>
            <w:vAlign w:val="center"/>
          </w:tcPr>
          <w:p w14:paraId="2259BEE7">
            <w:pPr>
              <w:rPr>
                <w:rFonts w:ascii="宋体" w:hAnsi="宋体" w:eastAsia="宋体" w:cs="Times New Roman"/>
                <w:sz w:val="24"/>
                <w:szCs w:val="24"/>
              </w:rPr>
            </w:pPr>
            <w:r>
              <w:rPr>
                <w:rFonts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vAlign w:val="center"/>
          </w:tcPr>
          <w:p w14:paraId="090513C8">
            <w:pPr>
              <w:spacing w:line="360" w:lineRule="auto"/>
              <w:rPr>
                <w:rFonts w:ascii="宋体" w:hAnsi="宋体" w:eastAsia="宋体" w:cs="Times New Roman"/>
                <w:sz w:val="24"/>
                <w:szCs w:val="24"/>
              </w:rPr>
            </w:pPr>
            <w:r>
              <w:rPr>
                <w:rFonts w:hint="eastAsia" w:ascii="宋体" w:hAnsi="宋体" w:eastAsia="宋体" w:cs="Times New Roman"/>
                <w:sz w:val="24"/>
                <w:szCs w:val="24"/>
              </w:rPr>
              <w:t>要有较为详细的招标、评标及中标过程中的投诉或质疑处理机制；收集投标人提出的问题或质疑，拟写答疑会议纪要或补遗文件或组织专家复议会议。如需采购人协助的，请在方案中具体写明有哪些情况必须采购人协助。评价为优得6分；良得3分；中得1分；差不得分。</w:t>
            </w:r>
          </w:p>
        </w:tc>
      </w:tr>
      <w:tr w14:paraId="698F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CA9484E">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31" w:type="dxa"/>
            <w:tcBorders>
              <w:top w:val="single" w:color="auto" w:sz="4" w:space="0"/>
              <w:left w:val="single" w:color="auto" w:sz="4" w:space="0"/>
              <w:bottom w:val="single" w:color="auto" w:sz="4" w:space="0"/>
              <w:right w:val="single" w:color="auto" w:sz="4" w:space="0"/>
            </w:tcBorders>
            <w:vAlign w:val="center"/>
          </w:tcPr>
          <w:p w14:paraId="6A39510B">
            <w:pPr>
              <w:jc w:val="center"/>
              <w:rPr>
                <w:rFonts w:ascii="宋体" w:hAnsi="宋体" w:eastAsia="宋体" w:cs="Times New Roman"/>
                <w:sz w:val="24"/>
                <w:szCs w:val="24"/>
              </w:rPr>
            </w:pPr>
            <w:r>
              <w:rPr>
                <w:rFonts w:hint="eastAsia" w:ascii="宋体" w:hAnsi="宋体" w:eastAsia="宋体" w:cs="Times New Roman"/>
                <w:sz w:val="24"/>
                <w:szCs w:val="24"/>
              </w:rPr>
              <w:t>档案管理</w:t>
            </w:r>
          </w:p>
        </w:tc>
        <w:tc>
          <w:tcPr>
            <w:tcW w:w="1013" w:type="dxa"/>
            <w:tcBorders>
              <w:top w:val="single" w:color="auto" w:sz="4" w:space="0"/>
              <w:left w:val="single" w:color="auto" w:sz="4" w:space="0"/>
              <w:bottom w:val="single" w:color="auto" w:sz="4" w:space="0"/>
              <w:right w:val="single" w:color="auto" w:sz="4" w:space="0"/>
            </w:tcBorders>
            <w:vAlign w:val="center"/>
          </w:tcPr>
          <w:p w14:paraId="372DE3E5">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830" w:type="dxa"/>
            <w:tcBorders>
              <w:top w:val="single" w:color="auto" w:sz="4" w:space="0"/>
              <w:left w:val="single" w:color="auto" w:sz="4" w:space="0"/>
              <w:bottom w:val="single" w:color="auto" w:sz="4" w:space="0"/>
              <w:right w:val="single" w:color="auto" w:sz="4" w:space="0"/>
            </w:tcBorders>
            <w:vAlign w:val="center"/>
          </w:tcPr>
          <w:p w14:paraId="46FB8CE4">
            <w:pPr>
              <w:rPr>
                <w:rFonts w:ascii="宋体" w:hAnsi="宋体" w:eastAsia="宋体" w:cs="Times New Roman"/>
                <w:sz w:val="24"/>
                <w:szCs w:val="24"/>
              </w:rPr>
            </w:pPr>
            <w:r>
              <w:rPr>
                <w:rFonts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vAlign w:val="center"/>
          </w:tcPr>
          <w:p w14:paraId="4E2B3BA9">
            <w:pPr>
              <w:spacing w:line="360" w:lineRule="auto"/>
              <w:rPr>
                <w:rFonts w:ascii="宋体" w:hAnsi="宋体" w:eastAsia="宋体" w:cs="Times New Roman"/>
                <w:sz w:val="24"/>
                <w:szCs w:val="24"/>
              </w:rPr>
            </w:pPr>
            <w:r>
              <w:rPr>
                <w:rFonts w:hint="eastAsia" w:ascii="宋体" w:hAnsi="宋体" w:eastAsia="宋体" w:cs="Times New Roman"/>
                <w:sz w:val="24"/>
                <w:szCs w:val="24"/>
              </w:rPr>
              <w:t>横向比较投标人提供的招标代理项目档案的管理制度及方案，分档评分：评价为优得5分；良得3分；中得1分；差不得分。</w:t>
            </w:r>
          </w:p>
        </w:tc>
      </w:tr>
      <w:tr w14:paraId="7E18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A7E979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931" w:type="dxa"/>
            <w:tcBorders>
              <w:top w:val="single" w:color="auto" w:sz="4" w:space="0"/>
              <w:left w:val="single" w:color="auto" w:sz="4" w:space="0"/>
              <w:bottom w:val="single" w:color="auto" w:sz="4" w:space="0"/>
              <w:right w:val="single" w:color="auto" w:sz="4" w:space="0"/>
            </w:tcBorders>
            <w:vAlign w:val="center"/>
          </w:tcPr>
          <w:p w14:paraId="13B8BB11">
            <w:pPr>
              <w:widowControl/>
              <w:spacing w:line="360" w:lineRule="auto"/>
              <w:jc w:val="center"/>
              <w:rPr>
                <w:rFonts w:ascii="宋体" w:hAnsi="宋体" w:eastAsia="宋体" w:cs="Times New Roman"/>
                <w:sz w:val="24"/>
                <w:szCs w:val="24"/>
              </w:rPr>
            </w:pPr>
            <w:r>
              <w:rPr>
                <w:rFonts w:hint="eastAsia" w:ascii="宋体" w:hAnsi="宋体" w:eastAsia="宋体" w:cs="宋体"/>
                <w:color w:val="000000"/>
                <w:kern w:val="0"/>
                <w:sz w:val="24"/>
                <w:szCs w:val="24"/>
              </w:rPr>
              <w:t>管理能力</w:t>
            </w:r>
          </w:p>
        </w:tc>
        <w:tc>
          <w:tcPr>
            <w:tcW w:w="1013" w:type="dxa"/>
            <w:tcBorders>
              <w:top w:val="single" w:color="auto" w:sz="4" w:space="0"/>
              <w:left w:val="single" w:color="auto" w:sz="4" w:space="0"/>
              <w:bottom w:val="single" w:color="auto" w:sz="4" w:space="0"/>
              <w:right w:val="single" w:color="auto" w:sz="4" w:space="0"/>
            </w:tcBorders>
            <w:vAlign w:val="center"/>
          </w:tcPr>
          <w:p w14:paraId="1A6C859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830" w:type="dxa"/>
            <w:tcBorders>
              <w:top w:val="single" w:color="auto" w:sz="4" w:space="0"/>
              <w:left w:val="single" w:color="auto" w:sz="4" w:space="0"/>
              <w:bottom w:val="single" w:color="auto" w:sz="4" w:space="0"/>
              <w:right w:val="single" w:color="auto" w:sz="4" w:space="0"/>
            </w:tcBorders>
            <w:vAlign w:val="center"/>
          </w:tcPr>
          <w:p w14:paraId="50FA820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tcPr>
          <w:p w14:paraId="1C3879F3">
            <w:pPr>
              <w:widowControl/>
              <w:spacing w:line="360" w:lineRule="auto"/>
              <w:jc w:val="left"/>
              <w:rPr>
                <w:rFonts w:ascii="宋体" w:hAnsi="宋体" w:eastAsia="宋体" w:cs="Times New Roman"/>
                <w:b/>
                <w:sz w:val="24"/>
                <w:szCs w:val="24"/>
              </w:rPr>
            </w:pPr>
            <w:r>
              <w:rPr>
                <w:rFonts w:hint="eastAsia" w:ascii="宋体" w:hAnsi="宋体" w:eastAsia="宋体" w:cs="宋体"/>
                <w:color w:val="000000"/>
                <w:kern w:val="0"/>
                <w:sz w:val="24"/>
                <w:szCs w:val="24"/>
              </w:rPr>
              <w:t xml:space="preserve">质量管理体系认证证书，环境管理体系认证证书，职业健康安全管理体系认证证书，每具有一个证书得 3 分；无得 0 分。（提供有效期内证书复印件作为评审依据，已失效或撤销的不得分） </w:t>
            </w:r>
          </w:p>
        </w:tc>
      </w:tr>
      <w:tr w14:paraId="21B5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right w:val="single" w:color="auto" w:sz="4" w:space="0"/>
            </w:tcBorders>
            <w:vAlign w:val="center"/>
          </w:tcPr>
          <w:p w14:paraId="2AC5037A">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931" w:type="dxa"/>
            <w:vMerge w:val="restart"/>
            <w:tcBorders>
              <w:top w:val="single" w:color="auto" w:sz="4" w:space="0"/>
              <w:left w:val="single" w:color="auto" w:sz="4" w:space="0"/>
              <w:right w:val="single" w:color="auto" w:sz="4" w:space="0"/>
            </w:tcBorders>
            <w:vAlign w:val="center"/>
          </w:tcPr>
          <w:p w14:paraId="425E9ED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拟为本项目服务的具体团队成员情况</w:t>
            </w:r>
          </w:p>
        </w:tc>
        <w:tc>
          <w:tcPr>
            <w:tcW w:w="1013" w:type="dxa"/>
            <w:vMerge w:val="restart"/>
            <w:tcBorders>
              <w:top w:val="single" w:color="auto" w:sz="4" w:space="0"/>
              <w:left w:val="single" w:color="auto" w:sz="4" w:space="0"/>
              <w:right w:val="single" w:color="auto" w:sz="4" w:space="0"/>
            </w:tcBorders>
            <w:vAlign w:val="center"/>
          </w:tcPr>
          <w:p w14:paraId="32C144C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830" w:type="dxa"/>
            <w:vMerge w:val="restart"/>
            <w:tcBorders>
              <w:top w:val="single" w:color="auto" w:sz="4" w:space="0"/>
              <w:left w:val="single" w:color="auto" w:sz="4" w:space="0"/>
              <w:right w:val="single" w:color="auto" w:sz="4" w:space="0"/>
            </w:tcBorders>
            <w:vAlign w:val="center"/>
          </w:tcPr>
          <w:p w14:paraId="679DE2D6">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tcPr>
          <w:p w14:paraId="6542C803">
            <w:pPr>
              <w:widowControl/>
              <w:spacing w:line="360" w:lineRule="auto"/>
              <w:jc w:val="left"/>
              <w:rPr>
                <w:rFonts w:ascii="宋体" w:hAnsi="宋体" w:eastAsia="宋体"/>
                <w:sz w:val="24"/>
                <w:szCs w:val="24"/>
              </w:rPr>
            </w:pPr>
            <w:r>
              <w:rPr>
                <w:rFonts w:ascii="宋体" w:hAnsi="宋体" w:eastAsia="宋体"/>
                <w:sz w:val="24"/>
                <w:szCs w:val="24"/>
              </w:rPr>
              <w:t>项目负责人在20</w:t>
            </w:r>
            <w:r>
              <w:rPr>
                <w:rFonts w:hint="eastAsia" w:ascii="宋体" w:hAnsi="宋体" w:eastAsia="宋体"/>
                <w:sz w:val="24"/>
                <w:szCs w:val="24"/>
              </w:rPr>
              <w:t>2</w:t>
            </w:r>
            <w:r>
              <w:rPr>
                <w:rFonts w:hint="eastAsia" w:ascii="宋体" w:hAnsi="宋体" w:eastAsia="宋体"/>
                <w:sz w:val="24"/>
                <w:szCs w:val="24"/>
                <w:lang w:val="en-US" w:eastAsia="zh-CN"/>
              </w:rPr>
              <w:t>5</w:t>
            </w:r>
            <w:r>
              <w:rPr>
                <w:rFonts w:ascii="宋体" w:hAnsi="宋体" w:eastAsia="宋体"/>
                <w:sz w:val="24"/>
                <w:szCs w:val="24"/>
              </w:rPr>
              <w:t>年1月1日前取得</w:t>
            </w:r>
            <w:r>
              <w:rPr>
                <w:rFonts w:hint="eastAsia" w:ascii="宋体" w:hAnsi="宋体" w:eastAsia="宋体"/>
                <w:sz w:val="24"/>
                <w:szCs w:val="24"/>
              </w:rPr>
              <w:t>高级职称</w:t>
            </w:r>
            <w:r>
              <w:rPr>
                <w:rFonts w:ascii="宋体" w:hAnsi="宋体" w:eastAsia="宋体"/>
                <w:sz w:val="24"/>
                <w:szCs w:val="24"/>
              </w:rPr>
              <w:t>的得1分；在20</w:t>
            </w:r>
            <w:r>
              <w:rPr>
                <w:rFonts w:hint="eastAsia" w:ascii="宋体" w:hAnsi="宋体" w:eastAsia="宋体"/>
                <w:sz w:val="24"/>
                <w:szCs w:val="24"/>
              </w:rPr>
              <w:t>2</w:t>
            </w:r>
            <w:r>
              <w:rPr>
                <w:rFonts w:hint="eastAsia" w:ascii="宋体" w:hAnsi="宋体" w:eastAsia="宋体"/>
                <w:sz w:val="24"/>
                <w:szCs w:val="24"/>
                <w:lang w:val="en-US" w:eastAsia="zh-CN"/>
              </w:rPr>
              <w:t>5</w:t>
            </w:r>
            <w:r>
              <w:rPr>
                <w:rFonts w:ascii="宋体" w:hAnsi="宋体" w:eastAsia="宋体"/>
                <w:sz w:val="24"/>
                <w:szCs w:val="24"/>
              </w:rPr>
              <w:t>年1月1日前取得的每提早一年多得1分，该项最高得分</w:t>
            </w:r>
            <w:r>
              <w:rPr>
                <w:rFonts w:hint="eastAsia" w:ascii="宋体" w:hAnsi="宋体" w:eastAsia="宋体"/>
                <w:sz w:val="24"/>
                <w:szCs w:val="24"/>
              </w:rPr>
              <w:t>10</w:t>
            </w:r>
            <w:r>
              <w:rPr>
                <w:rFonts w:ascii="宋体" w:hAnsi="宋体" w:eastAsia="宋体"/>
                <w:sz w:val="24"/>
                <w:szCs w:val="24"/>
              </w:rPr>
              <w:t>分。</w:t>
            </w:r>
          </w:p>
          <w:p w14:paraId="14FC40DF">
            <w:pPr>
              <w:pStyle w:val="6"/>
              <w:rPr>
                <w:rFonts w:ascii="宋体" w:hAnsi="宋体" w:eastAsia="宋体"/>
                <w:sz w:val="24"/>
                <w:szCs w:val="24"/>
              </w:rPr>
            </w:pPr>
            <w:r>
              <w:rPr>
                <w:rFonts w:hint="eastAsia" w:ascii="宋体" w:hAnsi="宋体" w:eastAsia="宋体"/>
                <w:sz w:val="24"/>
                <w:szCs w:val="24"/>
              </w:rPr>
              <w:t xml:space="preserve">备注： </w:t>
            </w:r>
          </w:p>
          <w:p w14:paraId="520FDAFA">
            <w:pPr>
              <w:pStyle w:val="6"/>
              <w:spacing w:line="360" w:lineRule="auto"/>
              <w:ind w:firstLine="480" w:firstLineChars="200"/>
              <w:rPr>
                <w:rFonts w:ascii="宋体" w:hAnsi="宋体" w:eastAsia="宋体"/>
                <w:sz w:val="24"/>
                <w:szCs w:val="24"/>
              </w:rPr>
            </w:pPr>
            <w:r>
              <w:rPr>
                <w:rFonts w:hint="eastAsia" w:ascii="宋体" w:hAnsi="宋体" w:eastAsia="宋体"/>
                <w:sz w:val="24"/>
                <w:szCs w:val="24"/>
              </w:rPr>
              <w:t>（1）投标人拟委派的项目负责人具备不少于5年的招标采购工作经验，须提供加盖公章相关证明文件，未提供证明文件或项目负责人不具备相关经验要求本项不得分；</w:t>
            </w:r>
          </w:p>
          <w:p w14:paraId="1B04834A">
            <w:pPr>
              <w:pStyle w:val="6"/>
              <w:spacing w:line="360" w:lineRule="auto"/>
              <w:ind w:firstLine="480" w:firstLineChars="200"/>
              <w:rPr>
                <w:rFonts w:ascii="宋体" w:hAnsi="宋体" w:eastAsia="宋体"/>
                <w:sz w:val="24"/>
                <w:szCs w:val="24"/>
              </w:rPr>
            </w:pPr>
            <w:r>
              <w:rPr>
                <w:rFonts w:hint="eastAsia" w:ascii="宋体" w:hAnsi="宋体" w:eastAsia="宋体"/>
                <w:sz w:val="24"/>
                <w:szCs w:val="24"/>
              </w:rPr>
              <w:t>（2）投标人拟委派的项目负责人情况不列入项目团队成员的计分范围；</w:t>
            </w:r>
          </w:p>
          <w:p w14:paraId="7CDA8D70">
            <w:pPr>
              <w:pStyle w:val="6"/>
              <w:spacing w:line="360" w:lineRule="auto"/>
              <w:ind w:firstLine="480" w:firstLineChars="200"/>
              <w:rPr>
                <w:rFonts w:ascii="宋体" w:hAnsi="宋体" w:eastAsia="宋体"/>
                <w:sz w:val="24"/>
                <w:szCs w:val="24"/>
              </w:rPr>
            </w:pPr>
            <w:r>
              <w:rPr>
                <w:rFonts w:hint="eastAsia" w:ascii="宋体" w:hAnsi="宋体" w:eastAsia="宋体"/>
                <w:sz w:val="24"/>
                <w:szCs w:val="24"/>
              </w:rPr>
              <w:t>（3）投标人须提供加盖公章的高级职称证复印件，否则不予以承认。</w:t>
            </w:r>
          </w:p>
        </w:tc>
      </w:tr>
      <w:tr w14:paraId="4838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right w:val="single" w:color="auto" w:sz="4" w:space="0"/>
            </w:tcBorders>
            <w:vAlign w:val="center"/>
          </w:tcPr>
          <w:p w14:paraId="163FF9CB">
            <w:pPr>
              <w:spacing w:line="360" w:lineRule="auto"/>
              <w:jc w:val="center"/>
              <w:rPr>
                <w:rFonts w:ascii="宋体" w:hAnsi="宋体" w:eastAsia="宋体" w:cs="Times New Roman"/>
                <w:sz w:val="24"/>
                <w:szCs w:val="24"/>
              </w:rPr>
            </w:pPr>
          </w:p>
        </w:tc>
        <w:tc>
          <w:tcPr>
            <w:tcW w:w="931" w:type="dxa"/>
            <w:vMerge w:val="continue"/>
            <w:tcBorders>
              <w:left w:val="single" w:color="auto" w:sz="4" w:space="0"/>
              <w:right w:val="single" w:color="auto" w:sz="4" w:space="0"/>
            </w:tcBorders>
            <w:vAlign w:val="center"/>
          </w:tcPr>
          <w:p w14:paraId="5796BF75">
            <w:pPr>
              <w:spacing w:line="360" w:lineRule="auto"/>
              <w:jc w:val="center"/>
              <w:rPr>
                <w:rFonts w:ascii="宋体" w:hAnsi="宋体" w:eastAsia="宋体" w:cs="Times New Roman"/>
                <w:sz w:val="24"/>
                <w:szCs w:val="24"/>
              </w:rPr>
            </w:pPr>
          </w:p>
        </w:tc>
        <w:tc>
          <w:tcPr>
            <w:tcW w:w="1013" w:type="dxa"/>
            <w:vMerge w:val="continue"/>
            <w:tcBorders>
              <w:left w:val="single" w:color="auto" w:sz="4" w:space="0"/>
              <w:right w:val="single" w:color="auto" w:sz="4" w:space="0"/>
            </w:tcBorders>
            <w:vAlign w:val="center"/>
          </w:tcPr>
          <w:p w14:paraId="676EB896">
            <w:pPr>
              <w:spacing w:line="360" w:lineRule="auto"/>
              <w:jc w:val="center"/>
              <w:rPr>
                <w:rFonts w:ascii="宋体" w:hAnsi="宋体" w:eastAsia="宋体" w:cs="Times New Roman"/>
                <w:sz w:val="24"/>
                <w:szCs w:val="24"/>
              </w:rPr>
            </w:pPr>
          </w:p>
        </w:tc>
        <w:tc>
          <w:tcPr>
            <w:tcW w:w="830" w:type="dxa"/>
            <w:vMerge w:val="continue"/>
            <w:tcBorders>
              <w:left w:val="single" w:color="auto" w:sz="4" w:space="0"/>
              <w:right w:val="single" w:color="auto" w:sz="4" w:space="0"/>
            </w:tcBorders>
            <w:vAlign w:val="center"/>
          </w:tcPr>
          <w:p w14:paraId="30DF3B6B">
            <w:pPr>
              <w:spacing w:line="360" w:lineRule="auto"/>
              <w:jc w:val="center"/>
              <w:rPr>
                <w:rFonts w:ascii="宋体" w:hAnsi="宋体" w:eastAsia="宋体" w:cs="Times New Roman"/>
                <w:sz w:val="24"/>
                <w:szCs w:val="24"/>
              </w:rPr>
            </w:pPr>
          </w:p>
        </w:tc>
        <w:tc>
          <w:tcPr>
            <w:tcW w:w="4586" w:type="dxa"/>
            <w:tcBorders>
              <w:top w:val="single" w:color="auto" w:sz="4" w:space="0"/>
              <w:left w:val="single" w:color="auto" w:sz="4" w:space="0"/>
              <w:bottom w:val="single" w:color="auto" w:sz="4" w:space="0"/>
              <w:right w:val="single" w:color="auto" w:sz="4" w:space="0"/>
            </w:tcBorders>
          </w:tcPr>
          <w:p w14:paraId="227C9F57">
            <w:pPr>
              <w:spacing w:line="360" w:lineRule="auto"/>
              <w:ind w:firstLine="480" w:firstLineChars="200"/>
              <w:rPr>
                <w:rFonts w:ascii="宋体" w:hAnsi="宋体" w:eastAsia="宋体"/>
                <w:color w:val="000000"/>
                <w:sz w:val="24"/>
                <w:szCs w:val="24"/>
                <w:lang w:val="zh-CN"/>
              </w:rPr>
            </w:pPr>
            <w:r>
              <w:rPr>
                <w:rFonts w:ascii="宋体" w:hAnsi="宋体" w:eastAsia="宋体"/>
                <w:color w:val="000000"/>
                <w:sz w:val="24"/>
                <w:szCs w:val="24"/>
                <w:lang w:val="zh-CN"/>
              </w:rPr>
              <w:t>根据投标人拟委派的团队成员（除项目负责人）素质进行评价：</w:t>
            </w:r>
          </w:p>
          <w:p w14:paraId="41916D26">
            <w:pPr>
              <w:spacing w:line="360" w:lineRule="auto"/>
              <w:ind w:firstLine="480" w:firstLineChars="200"/>
              <w:rPr>
                <w:rFonts w:ascii="宋体" w:hAnsi="宋体" w:eastAsia="宋体"/>
                <w:color w:val="000000"/>
                <w:sz w:val="24"/>
                <w:szCs w:val="24"/>
                <w:lang w:val="zh-CN"/>
              </w:rPr>
            </w:pPr>
            <w:r>
              <w:rPr>
                <w:rFonts w:ascii="宋体" w:hAnsi="宋体" w:eastAsia="宋体"/>
                <w:color w:val="000000"/>
                <w:sz w:val="24"/>
                <w:szCs w:val="24"/>
                <w:lang w:val="zh-CN"/>
              </w:rPr>
              <w:t>1</w:t>
            </w:r>
            <w:r>
              <w:rPr>
                <w:rFonts w:hint="eastAsia" w:ascii="宋体" w:hAnsi="宋体" w:eastAsia="宋体"/>
                <w:color w:val="000000"/>
                <w:sz w:val="24"/>
                <w:szCs w:val="24"/>
                <w:lang w:val="zh-CN"/>
              </w:rPr>
              <w:t>.</w:t>
            </w:r>
            <w:r>
              <w:rPr>
                <w:rFonts w:ascii="宋体" w:hAnsi="宋体" w:eastAsia="宋体"/>
                <w:color w:val="000000"/>
                <w:sz w:val="24"/>
                <w:szCs w:val="24"/>
                <w:lang w:val="zh-CN"/>
              </w:rPr>
              <w:t>项目团队成员具有高级职称的，每人次得3分,累计最高6分；</w:t>
            </w:r>
          </w:p>
          <w:p w14:paraId="13DBDE97">
            <w:pPr>
              <w:spacing w:line="360" w:lineRule="auto"/>
              <w:ind w:firstLine="480" w:firstLineChars="200"/>
              <w:rPr>
                <w:rFonts w:ascii="宋体" w:hAnsi="宋体" w:eastAsia="宋体"/>
                <w:color w:val="000000"/>
                <w:sz w:val="24"/>
                <w:szCs w:val="24"/>
                <w:lang w:val="zh-CN"/>
              </w:rPr>
            </w:pPr>
            <w:r>
              <w:rPr>
                <w:rFonts w:ascii="宋体" w:hAnsi="宋体" w:eastAsia="宋体"/>
                <w:color w:val="000000"/>
                <w:sz w:val="24"/>
                <w:szCs w:val="24"/>
                <w:lang w:val="zh-CN"/>
              </w:rPr>
              <w:t>2</w:t>
            </w:r>
            <w:r>
              <w:rPr>
                <w:rFonts w:hint="eastAsia" w:ascii="宋体" w:hAnsi="宋体" w:eastAsia="宋体"/>
                <w:color w:val="000000"/>
                <w:sz w:val="24"/>
                <w:szCs w:val="24"/>
                <w:lang w:val="zh-CN"/>
              </w:rPr>
              <w:t>.</w:t>
            </w:r>
            <w:r>
              <w:rPr>
                <w:rFonts w:ascii="宋体" w:hAnsi="宋体" w:eastAsia="宋体"/>
                <w:color w:val="000000"/>
                <w:sz w:val="24"/>
                <w:szCs w:val="24"/>
                <w:lang w:val="zh-CN"/>
              </w:rPr>
              <w:t>项目团队成员具有中级职称的，每人次得2分，累计最高4分（已计算高级职称的，其中级职称不计算）；</w:t>
            </w:r>
          </w:p>
          <w:p w14:paraId="3455F9A9">
            <w:pPr>
              <w:spacing w:line="360" w:lineRule="auto"/>
              <w:ind w:firstLine="480" w:firstLineChars="200"/>
              <w:rPr>
                <w:rFonts w:ascii="宋体" w:hAnsi="宋体" w:eastAsia="宋体"/>
                <w:color w:val="000000"/>
                <w:sz w:val="24"/>
                <w:szCs w:val="24"/>
                <w:lang w:val="zh-CN"/>
              </w:rPr>
            </w:pPr>
            <w:r>
              <w:rPr>
                <w:rFonts w:ascii="宋体" w:hAnsi="宋体" w:eastAsia="宋体"/>
                <w:color w:val="000000"/>
                <w:sz w:val="24"/>
                <w:szCs w:val="24"/>
                <w:lang w:val="zh-CN"/>
              </w:rPr>
              <w:t>备注：</w:t>
            </w:r>
          </w:p>
          <w:p w14:paraId="5EF8EA6B">
            <w:pPr>
              <w:widowControl/>
              <w:spacing w:line="360" w:lineRule="auto"/>
              <w:jc w:val="left"/>
              <w:rPr>
                <w:rFonts w:ascii="宋体" w:hAnsi="宋体" w:eastAsia="宋体"/>
                <w:sz w:val="24"/>
                <w:szCs w:val="24"/>
              </w:rPr>
            </w:pPr>
            <w:r>
              <w:rPr>
                <w:rFonts w:ascii="宋体" w:hAnsi="宋体" w:eastAsia="宋体"/>
                <w:color w:val="000000"/>
                <w:sz w:val="24"/>
                <w:szCs w:val="24"/>
                <w:lang w:val="zh-CN"/>
              </w:rPr>
              <w:t>投标人须提供加盖公章的职称证书</w:t>
            </w:r>
            <w:r>
              <w:rPr>
                <w:rFonts w:hint="eastAsia" w:ascii="宋体" w:hAnsi="宋体" w:eastAsia="宋体"/>
                <w:color w:val="000000"/>
                <w:sz w:val="24"/>
                <w:szCs w:val="24"/>
              </w:rPr>
              <w:t>和</w:t>
            </w:r>
            <w:r>
              <w:rPr>
                <w:rFonts w:ascii="宋体" w:hAnsi="宋体" w:eastAsia="宋体"/>
                <w:sz w:val="24"/>
                <w:szCs w:val="24"/>
              </w:rPr>
              <w:t>学历</w:t>
            </w:r>
            <w:r>
              <w:rPr>
                <w:rFonts w:ascii="宋体" w:hAnsi="宋体" w:eastAsia="宋体"/>
                <w:color w:val="000000"/>
                <w:sz w:val="24"/>
                <w:szCs w:val="24"/>
                <w:lang w:val="zh-CN"/>
              </w:rPr>
              <w:t>复印件，否则不予以承认。</w:t>
            </w:r>
          </w:p>
        </w:tc>
      </w:tr>
      <w:tr w14:paraId="5ADB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D59ACA">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931" w:type="dxa"/>
            <w:tcBorders>
              <w:top w:val="single" w:color="auto" w:sz="4" w:space="0"/>
              <w:left w:val="single" w:color="auto" w:sz="4" w:space="0"/>
              <w:bottom w:val="single" w:color="auto" w:sz="4" w:space="0"/>
              <w:right w:val="single" w:color="auto" w:sz="4" w:space="0"/>
            </w:tcBorders>
            <w:vAlign w:val="center"/>
          </w:tcPr>
          <w:p w14:paraId="7E4A45B8">
            <w:pPr>
              <w:widowControl/>
              <w:jc w:val="center"/>
              <w:rPr>
                <w:rFonts w:ascii="宋体" w:hAnsi="宋体" w:eastAsia="宋体" w:cs="Times New Roman"/>
                <w:sz w:val="24"/>
                <w:szCs w:val="24"/>
              </w:rPr>
            </w:pPr>
            <w:r>
              <w:rPr>
                <w:rFonts w:hint="eastAsia" w:ascii="宋体" w:hAnsi="宋体" w:eastAsia="宋体" w:cs="宋体"/>
                <w:color w:val="000000"/>
                <w:kern w:val="0"/>
                <w:sz w:val="24"/>
                <w:szCs w:val="24"/>
              </w:rPr>
              <w:t>服务经验</w:t>
            </w:r>
          </w:p>
        </w:tc>
        <w:tc>
          <w:tcPr>
            <w:tcW w:w="1013" w:type="dxa"/>
            <w:tcBorders>
              <w:top w:val="single" w:color="auto" w:sz="4" w:space="0"/>
              <w:left w:val="single" w:color="auto" w:sz="4" w:space="0"/>
              <w:bottom w:val="single" w:color="auto" w:sz="4" w:space="0"/>
              <w:right w:val="single" w:color="auto" w:sz="4" w:space="0"/>
            </w:tcBorders>
            <w:vAlign w:val="center"/>
          </w:tcPr>
          <w:p w14:paraId="7E6BB112">
            <w:pPr>
              <w:spacing w:after="160" w:line="36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830" w:type="dxa"/>
            <w:tcBorders>
              <w:top w:val="single" w:color="auto" w:sz="4" w:space="0"/>
              <w:left w:val="single" w:color="auto" w:sz="4" w:space="0"/>
              <w:bottom w:val="single" w:color="auto" w:sz="4" w:space="0"/>
              <w:right w:val="single" w:color="auto" w:sz="4" w:space="0"/>
            </w:tcBorders>
            <w:vAlign w:val="center"/>
          </w:tcPr>
          <w:p w14:paraId="292D6576">
            <w:pPr>
              <w:spacing w:after="160" w:line="360" w:lineRule="auto"/>
              <w:jc w:val="center"/>
              <w:rPr>
                <w:rFonts w:ascii="宋体" w:hAnsi="宋体" w:eastAsia="宋体" w:cs="Times New Roman"/>
                <w:sz w:val="24"/>
                <w:szCs w:val="24"/>
              </w:rPr>
            </w:pPr>
            <w:r>
              <w:rPr>
                <w:rFonts w:hint="eastAsia"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vAlign w:val="center"/>
          </w:tcPr>
          <w:p w14:paraId="0CDE9ECC">
            <w:pPr>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近三年内具有年度招标代理协议招标业绩（</w:t>
            </w:r>
            <w:r>
              <w:rPr>
                <w:rFonts w:hint="eastAsia" w:ascii="宋体" w:hAnsi="宋体" w:eastAsia="宋体" w:cs="Times New Roman"/>
                <w:sz w:val="24"/>
                <w:szCs w:val="24"/>
                <w:lang w:val="en-US" w:eastAsia="zh-CN"/>
              </w:rPr>
              <w:t>2022</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5月</w:t>
            </w:r>
            <w:r>
              <w:rPr>
                <w:rFonts w:hint="eastAsia" w:ascii="宋体" w:hAnsi="宋体" w:eastAsia="宋体" w:cs="Times New Roman"/>
                <w:sz w:val="24"/>
                <w:szCs w:val="24"/>
              </w:rPr>
              <w:t>至招标公告之日止）。</w:t>
            </w:r>
            <w:r>
              <w:rPr>
                <w:rFonts w:hint="eastAsia" w:ascii="宋体" w:hAnsi="宋体" w:eastAsia="宋体"/>
                <w:sz w:val="24"/>
                <w:szCs w:val="24"/>
              </w:rPr>
              <w:t>提供1个业绩得1分，服务高校或科研单位的项目，每个得4分，最高得20分。</w:t>
            </w:r>
          </w:p>
          <w:p w14:paraId="43CB4966">
            <w:pPr>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请提供合同关键页复印件盖公章不提供或提供不齐全或无法辨别的，不得分。</w:t>
            </w:r>
          </w:p>
        </w:tc>
      </w:tr>
      <w:tr w14:paraId="5718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B742AA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931" w:type="dxa"/>
            <w:tcBorders>
              <w:top w:val="single" w:color="auto" w:sz="4" w:space="0"/>
              <w:left w:val="single" w:color="auto" w:sz="4" w:space="0"/>
              <w:bottom w:val="single" w:color="auto" w:sz="4" w:space="0"/>
              <w:right w:val="single" w:color="auto" w:sz="4" w:space="0"/>
            </w:tcBorders>
            <w:vAlign w:val="center"/>
          </w:tcPr>
          <w:p w14:paraId="6BD514A2">
            <w:pPr>
              <w:widowControl/>
              <w:spacing w:line="360" w:lineRule="auto"/>
              <w:jc w:val="left"/>
              <w:rPr>
                <w:rFonts w:ascii="宋体" w:hAnsi="宋体" w:eastAsia="宋体" w:cs="Times New Roman"/>
                <w:sz w:val="24"/>
                <w:szCs w:val="24"/>
              </w:rPr>
            </w:pPr>
            <w:r>
              <w:rPr>
                <w:rFonts w:hint="eastAsia" w:ascii="宋体" w:hAnsi="宋体" w:eastAsia="宋体" w:cs="宋体"/>
                <w:color w:val="000000"/>
                <w:kern w:val="0"/>
                <w:sz w:val="24"/>
                <w:szCs w:val="24"/>
              </w:rPr>
              <w:t>采购文件样本</w:t>
            </w:r>
          </w:p>
        </w:tc>
        <w:tc>
          <w:tcPr>
            <w:tcW w:w="1013" w:type="dxa"/>
            <w:tcBorders>
              <w:top w:val="single" w:color="auto" w:sz="4" w:space="0"/>
              <w:left w:val="single" w:color="auto" w:sz="4" w:space="0"/>
              <w:bottom w:val="single" w:color="auto" w:sz="4" w:space="0"/>
              <w:right w:val="single" w:color="auto" w:sz="4" w:space="0"/>
            </w:tcBorders>
            <w:vAlign w:val="center"/>
          </w:tcPr>
          <w:p w14:paraId="24ECDECD">
            <w:pPr>
              <w:spacing w:after="160" w:line="360" w:lineRule="auto"/>
              <w:jc w:val="center"/>
              <w:rPr>
                <w:rFonts w:ascii="宋体" w:hAnsi="宋体" w:eastAsia="宋体" w:cs="Times New Roman"/>
                <w:sz w:val="24"/>
                <w:szCs w:val="24"/>
              </w:rPr>
            </w:pPr>
            <w:r>
              <w:rPr>
                <w:rFonts w:hint="eastAsia" w:ascii="宋体" w:hAnsi="宋体" w:eastAsia="宋体" w:cs="Times New Roman"/>
                <w:sz w:val="24"/>
                <w:szCs w:val="24"/>
              </w:rPr>
              <w:t>25</w:t>
            </w:r>
          </w:p>
        </w:tc>
        <w:tc>
          <w:tcPr>
            <w:tcW w:w="830" w:type="dxa"/>
            <w:tcBorders>
              <w:top w:val="single" w:color="auto" w:sz="4" w:space="0"/>
              <w:left w:val="single" w:color="auto" w:sz="4" w:space="0"/>
              <w:bottom w:val="single" w:color="auto" w:sz="4" w:space="0"/>
              <w:right w:val="single" w:color="auto" w:sz="4" w:space="0"/>
            </w:tcBorders>
            <w:vAlign w:val="center"/>
          </w:tcPr>
          <w:p w14:paraId="11EF5EC6">
            <w:pPr>
              <w:spacing w:after="160" w:line="360" w:lineRule="auto"/>
              <w:jc w:val="center"/>
              <w:rPr>
                <w:rFonts w:ascii="宋体" w:hAnsi="宋体" w:eastAsia="宋体" w:cs="Times New Roman"/>
                <w:sz w:val="24"/>
                <w:szCs w:val="24"/>
              </w:rPr>
            </w:pPr>
            <w:r>
              <w:rPr>
                <w:rFonts w:hint="eastAsia" w:ascii="宋体" w:hAnsi="宋体" w:eastAsia="宋体" w:cs="Times New Roman"/>
                <w:sz w:val="24"/>
                <w:szCs w:val="24"/>
              </w:rPr>
              <w:t>专家打分</w:t>
            </w:r>
          </w:p>
        </w:tc>
        <w:tc>
          <w:tcPr>
            <w:tcW w:w="4586" w:type="dxa"/>
            <w:tcBorders>
              <w:top w:val="single" w:color="auto" w:sz="4" w:space="0"/>
              <w:left w:val="single" w:color="auto" w:sz="4" w:space="0"/>
              <w:bottom w:val="single" w:color="auto" w:sz="4" w:space="0"/>
              <w:right w:val="single" w:color="auto" w:sz="4" w:space="0"/>
            </w:tcBorders>
            <w:vAlign w:val="center"/>
          </w:tcPr>
          <w:p w14:paraId="2E36698B">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根据应选人提交的《采购文件（样本）》（高校项目）进行评审，考查各应选人编制与审核采购文件的技术水平、把握政府采购政策法规的专业水准和为应选人提供采购咨询服务的能力。</w:t>
            </w:r>
          </w:p>
          <w:p w14:paraId="073B8E85">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1、内容合理性（共 10 分）</w:t>
            </w:r>
          </w:p>
          <w:p w14:paraId="4CAAE072">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编制的需求内容应能较全面地涵盖该项目的各项技术、商务要求和质量标准，能合理反映该类商品或服务的价值，内容客观、合理，与高校的采购要求相适应。综合评价，优得 10 分；良得 7 分；中得 4 分；差得 1 分。</w:t>
            </w:r>
          </w:p>
          <w:p w14:paraId="52A2B866">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2、合法、合规性（共 8 分）</w:t>
            </w:r>
          </w:p>
          <w:p w14:paraId="5C4B4284">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需求内容和评审细则的条款必须符合政府采购领域的政策法规，每发现 1 处</w:t>
            </w:r>
          </w:p>
          <w:p w14:paraId="3F7353FE">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可能涉及违法或违规的内容或条款扣 1 分，扣完为止。（评委在遴选现场未能发现违法违规内容的除外）</w:t>
            </w:r>
          </w:p>
          <w:p w14:paraId="43CA6F81">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3、需求内容与评审细则的适应性、文本编制的条理性（共 7 分）</w:t>
            </w:r>
          </w:p>
          <w:p w14:paraId="750407B7">
            <w:pPr>
              <w:widowControl/>
              <w:spacing w:line="360" w:lineRule="auto"/>
              <w:ind w:firstLine="480" w:firstLineChars="200"/>
              <w:jc w:val="left"/>
              <w:rPr>
                <w:rFonts w:ascii="宋体" w:hAnsi="宋体" w:eastAsia="宋体"/>
                <w:sz w:val="24"/>
                <w:szCs w:val="24"/>
              </w:rPr>
            </w:pPr>
            <w:r>
              <w:rPr>
                <w:rFonts w:hint="eastAsia" w:ascii="宋体" w:hAnsi="宋体" w:eastAsia="宋体" w:cs="宋体"/>
                <w:color w:val="000000"/>
                <w:kern w:val="0"/>
                <w:sz w:val="24"/>
                <w:szCs w:val="24"/>
              </w:rPr>
              <w:t xml:space="preserve">评审细则应与采购需求相适应，在充分反映采购需求内容、符合政策法规规定的基础上遵循“物美价廉、择优推荐供应商”的原则，且文本编制有条理性，脉络清晰，便于查找阅读。综合评价，优得 7 分，良得 5 分，中得 3 分，差得 1 分。 </w:t>
            </w:r>
          </w:p>
          <w:p w14:paraId="6EA9E404">
            <w:pPr>
              <w:widowControl/>
              <w:spacing w:line="360" w:lineRule="auto"/>
              <w:jc w:val="left"/>
              <w:rPr>
                <w:rFonts w:ascii="宋体" w:hAnsi="宋体" w:eastAsia="宋体"/>
                <w:sz w:val="24"/>
                <w:szCs w:val="24"/>
              </w:rPr>
            </w:pPr>
            <w:r>
              <w:rPr>
                <w:rFonts w:hint="eastAsia" w:ascii="宋体" w:hAnsi="宋体" w:eastAsia="宋体" w:cs="宋体"/>
                <w:color w:val="000000"/>
                <w:kern w:val="0"/>
                <w:sz w:val="24"/>
                <w:szCs w:val="24"/>
              </w:rPr>
              <w:t xml:space="preserve">出现以下情况的，以上各项均不得分： </w:t>
            </w:r>
          </w:p>
          <w:p w14:paraId="012A95F5">
            <w:pPr>
              <w:widowControl/>
              <w:spacing w:line="360" w:lineRule="auto"/>
              <w:jc w:val="left"/>
              <w:rPr>
                <w:rFonts w:ascii="宋体" w:hAnsi="宋体" w:eastAsia="宋体"/>
                <w:sz w:val="24"/>
                <w:szCs w:val="24"/>
              </w:rPr>
            </w:pPr>
            <w:r>
              <w:rPr>
                <w:rFonts w:hint="eastAsia" w:ascii="宋体" w:hAnsi="宋体" w:eastAsia="宋体" w:cs="宋体"/>
                <w:color w:val="000000"/>
                <w:kern w:val="0"/>
                <w:sz w:val="24"/>
                <w:szCs w:val="24"/>
              </w:rPr>
              <w:t xml:space="preserve">1）不提交样本文件； </w:t>
            </w:r>
          </w:p>
          <w:p w14:paraId="6BDBD8DE">
            <w:pPr>
              <w:widowControl/>
              <w:spacing w:line="360" w:lineRule="auto"/>
              <w:jc w:val="left"/>
              <w:rPr>
                <w:rFonts w:ascii="宋体" w:hAnsi="宋体" w:eastAsia="宋体" w:cs="Times New Roman"/>
                <w:sz w:val="24"/>
                <w:szCs w:val="24"/>
              </w:rPr>
            </w:pPr>
            <w:r>
              <w:rPr>
                <w:rFonts w:hint="eastAsia" w:ascii="宋体" w:hAnsi="宋体" w:eastAsia="宋体" w:cs="宋体"/>
                <w:color w:val="000000"/>
                <w:kern w:val="0"/>
                <w:sz w:val="24"/>
                <w:szCs w:val="24"/>
              </w:rPr>
              <w:t>2）提交的样本文件只有采购需求没有评分标准，或只有评分标准没有采购需求的。</w:t>
            </w:r>
          </w:p>
        </w:tc>
      </w:tr>
    </w:tbl>
    <w:p w14:paraId="02060BE9">
      <w:pPr>
        <w:rPr>
          <w:b/>
          <w:color w:val="000000"/>
          <w:sz w:val="24"/>
        </w:rPr>
      </w:pPr>
      <w:bookmarkStart w:id="21" w:name="InsertEnd"/>
      <w:bookmarkEnd w:id="21"/>
      <w:r>
        <w:rPr>
          <w:b/>
          <w:color w:val="000000"/>
          <w:sz w:val="24"/>
        </w:rPr>
        <w:br w:type="page"/>
      </w:r>
    </w:p>
    <w:p w14:paraId="265D8450">
      <w:pPr>
        <w:rPr>
          <w:rFonts w:ascii="宋体" w:hAnsi="宋体" w:eastAsia="宋体" w:cs="宋体"/>
        </w:rPr>
      </w:pPr>
    </w:p>
    <w:p w14:paraId="6C9B9338">
      <w:pPr>
        <w:pStyle w:val="13"/>
        <w:rPr>
          <w:rFonts w:ascii="宋体" w:hAnsi="宋体" w:eastAsia="宋体" w:cs="宋体"/>
        </w:rPr>
      </w:pPr>
    </w:p>
    <w:p w14:paraId="104F41BB">
      <w:pPr>
        <w:rPr>
          <w:rFonts w:ascii="宋体" w:hAnsi="宋体" w:eastAsia="宋体" w:cs="宋体"/>
        </w:rPr>
      </w:pPr>
    </w:p>
    <w:p w14:paraId="69113753">
      <w:pPr>
        <w:pStyle w:val="13"/>
        <w:rPr>
          <w:rFonts w:ascii="宋体" w:hAnsi="宋体" w:eastAsia="宋体" w:cs="宋体"/>
        </w:rPr>
      </w:pPr>
    </w:p>
    <w:p w14:paraId="3E99EA28">
      <w:pPr>
        <w:adjustRightInd w:val="0"/>
        <w:snapToGrid w:val="0"/>
        <w:rPr>
          <w:rFonts w:ascii="宋体" w:hAnsi="宋体"/>
          <w:b/>
          <w:bCs/>
          <w:color w:val="auto"/>
          <w:sz w:val="64"/>
          <w:u w:val="single"/>
        </w:rPr>
      </w:pPr>
    </w:p>
    <w:p w14:paraId="31B661BE">
      <w:pPr>
        <w:adjustRightInd w:val="0"/>
        <w:snapToGrid w:val="0"/>
        <w:jc w:val="center"/>
        <w:rPr>
          <w:rFonts w:ascii="宋体" w:hAnsi="宋体"/>
          <w:color w:val="auto"/>
          <w:sz w:val="44"/>
        </w:rPr>
      </w:pPr>
    </w:p>
    <w:p w14:paraId="7FD3626E">
      <w:pPr>
        <w:adjustRightInd w:val="0"/>
        <w:snapToGrid w:val="0"/>
        <w:jc w:val="center"/>
        <w:rPr>
          <w:rFonts w:ascii="宋体" w:hAnsi="宋体"/>
          <w:color w:val="auto"/>
          <w:sz w:val="44"/>
        </w:rPr>
      </w:pPr>
    </w:p>
    <w:p w14:paraId="7FB8CD0E">
      <w:pPr>
        <w:adjustRightInd w:val="0"/>
        <w:snapToGrid w:val="0"/>
        <w:jc w:val="center"/>
        <w:rPr>
          <w:rFonts w:ascii="宋体" w:hAnsi="宋体"/>
          <w:bCs/>
          <w:color w:val="auto"/>
          <w:spacing w:val="-30"/>
          <w:sz w:val="84"/>
          <w:szCs w:val="84"/>
        </w:rPr>
      </w:pPr>
    </w:p>
    <w:p w14:paraId="14151B37">
      <w:pPr>
        <w:adjustRightInd w:val="0"/>
        <w:snapToGrid w:val="0"/>
        <w:jc w:val="center"/>
        <w:rPr>
          <w:rFonts w:ascii="黑体" w:hAnsi="宋体" w:eastAsia="黑体"/>
          <w:bCs/>
          <w:color w:val="auto"/>
          <w:spacing w:val="-30"/>
          <w:sz w:val="84"/>
          <w:szCs w:val="84"/>
        </w:rPr>
      </w:pPr>
      <w:r>
        <w:rPr>
          <w:rFonts w:hint="eastAsia" w:ascii="黑体" w:hAnsi="宋体" w:eastAsia="黑体"/>
          <w:bCs/>
          <w:color w:val="auto"/>
          <w:spacing w:val="-30"/>
          <w:sz w:val="84"/>
          <w:szCs w:val="84"/>
          <w:lang w:val="en-US" w:eastAsia="zh-CN"/>
        </w:rPr>
        <w:t>招标代理</w:t>
      </w:r>
      <w:r>
        <w:rPr>
          <w:rFonts w:hint="eastAsia" w:ascii="黑体" w:hAnsi="宋体" w:eastAsia="黑体"/>
          <w:bCs/>
          <w:color w:val="auto"/>
          <w:spacing w:val="-30"/>
          <w:sz w:val="84"/>
          <w:szCs w:val="84"/>
        </w:rPr>
        <w:t>委托协议</w:t>
      </w:r>
    </w:p>
    <w:p w14:paraId="12111E0B">
      <w:pPr>
        <w:adjustRightInd w:val="0"/>
        <w:snapToGrid w:val="0"/>
        <w:ind w:firstLine="1280" w:firstLineChars="400"/>
        <w:rPr>
          <w:rFonts w:ascii="宋体" w:hAnsi="宋体"/>
          <w:bCs/>
          <w:color w:val="auto"/>
          <w:sz w:val="32"/>
        </w:rPr>
      </w:pPr>
    </w:p>
    <w:p w14:paraId="4238A36C">
      <w:pPr>
        <w:adjustRightInd w:val="0"/>
        <w:snapToGrid w:val="0"/>
        <w:ind w:firstLine="1280" w:firstLineChars="400"/>
        <w:rPr>
          <w:rFonts w:ascii="宋体" w:hAnsi="宋体"/>
          <w:bCs/>
          <w:color w:val="auto"/>
          <w:sz w:val="32"/>
        </w:rPr>
      </w:pPr>
    </w:p>
    <w:p w14:paraId="0F7EEA6A">
      <w:pPr>
        <w:adjustRightInd w:val="0"/>
        <w:snapToGrid w:val="0"/>
        <w:ind w:firstLine="1280" w:firstLineChars="400"/>
        <w:rPr>
          <w:rFonts w:ascii="宋体" w:hAnsi="宋体"/>
          <w:bCs/>
          <w:color w:val="auto"/>
          <w:sz w:val="32"/>
        </w:rPr>
      </w:pPr>
    </w:p>
    <w:p w14:paraId="0A4356FB">
      <w:pPr>
        <w:adjustRightInd w:val="0"/>
        <w:snapToGrid w:val="0"/>
        <w:ind w:firstLine="1280" w:firstLineChars="400"/>
        <w:rPr>
          <w:rFonts w:ascii="宋体" w:hAnsi="宋体"/>
          <w:bCs/>
          <w:color w:val="auto"/>
          <w:sz w:val="32"/>
        </w:rPr>
      </w:pPr>
    </w:p>
    <w:p w14:paraId="2C4D2D51">
      <w:pPr>
        <w:adjustRightInd w:val="0"/>
        <w:snapToGrid w:val="0"/>
        <w:ind w:firstLine="1050" w:firstLineChars="350"/>
        <w:rPr>
          <w:rFonts w:ascii="宋体" w:hAnsi="宋体"/>
          <w:bCs/>
          <w:color w:val="auto"/>
          <w:sz w:val="30"/>
          <w:szCs w:val="30"/>
        </w:rPr>
      </w:pPr>
    </w:p>
    <w:p w14:paraId="1FE06FF6">
      <w:pPr>
        <w:adjustRightInd w:val="0"/>
        <w:snapToGrid w:val="0"/>
        <w:ind w:firstLine="1050" w:firstLineChars="350"/>
        <w:rPr>
          <w:rFonts w:ascii="宋体" w:hAnsi="宋体"/>
          <w:bCs/>
          <w:color w:val="auto"/>
          <w:sz w:val="30"/>
          <w:szCs w:val="30"/>
        </w:rPr>
      </w:pPr>
    </w:p>
    <w:p w14:paraId="04A29665">
      <w:pPr>
        <w:adjustRightInd w:val="0"/>
        <w:snapToGrid w:val="0"/>
        <w:ind w:firstLine="1050" w:firstLineChars="350"/>
        <w:rPr>
          <w:rFonts w:ascii="宋体" w:hAnsi="宋体"/>
          <w:bCs/>
          <w:color w:val="auto"/>
          <w:sz w:val="30"/>
          <w:szCs w:val="30"/>
        </w:rPr>
      </w:pPr>
    </w:p>
    <w:p w14:paraId="412C41B4">
      <w:pPr>
        <w:adjustRightInd w:val="0"/>
        <w:snapToGrid w:val="0"/>
        <w:ind w:firstLine="1050" w:firstLineChars="350"/>
        <w:rPr>
          <w:rFonts w:ascii="宋体" w:hAnsi="宋体"/>
          <w:bCs/>
          <w:color w:val="auto"/>
          <w:sz w:val="30"/>
          <w:szCs w:val="30"/>
        </w:rPr>
      </w:pPr>
    </w:p>
    <w:p w14:paraId="7D76DD0D">
      <w:pPr>
        <w:adjustRightInd w:val="0"/>
        <w:snapToGrid w:val="0"/>
        <w:rPr>
          <w:rFonts w:ascii="宋体" w:hAnsi="宋体"/>
          <w:bCs/>
          <w:color w:val="auto"/>
          <w:sz w:val="30"/>
          <w:szCs w:val="30"/>
        </w:rPr>
      </w:pPr>
    </w:p>
    <w:p w14:paraId="54C5DA42">
      <w:pPr>
        <w:adjustRightInd w:val="0"/>
        <w:snapToGrid w:val="0"/>
        <w:rPr>
          <w:rFonts w:hint="eastAsia" w:eastAsia="黑体"/>
          <w:bCs/>
          <w:color w:val="auto"/>
          <w:sz w:val="30"/>
          <w:szCs w:val="30"/>
        </w:rPr>
      </w:pPr>
    </w:p>
    <w:p w14:paraId="11E313FB">
      <w:pPr>
        <w:adjustRightInd w:val="0"/>
        <w:snapToGrid w:val="0"/>
        <w:rPr>
          <w:rFonts w:hint="eastAsia" w:eastAsia="黑体"/>
          <w:bCs/>
          <w:color w:val="auto"/>
          <w:sz w:val="30"/>
          <w:szCs w:val="30"/>
        </w:rPr>
      </w:pPr>
    </w:p>
    <w:p w14:paraId="7F5A4627">
      <w:pPr>
        <w:adjustRightInd w:val="0"/>
        <w:snapToGrid w:val="0"/>
        <w:rPr>
          <w:rFonts w:hint="eastAsia" w:eastAsia="黑体"/>
          <w:bCs/>
          <w:color w:val="auto"/>
          <w:sz w:val="30"/>
          <w:szCs w:val="30"/>
          <w:lang w:eastAsia="zh-CN"/>
        </w:rPr>
      </w:pPr>
      <w:r>
        <w:rPr>
          <w:rFonts w:hint="eastAsia" w:eastAsia="黑体"/>
          <w:bCs/>
          <w:color w:val="auto"/>
          <w:sz w:val="30"/>
          <w:szCs w:val="30"/>
        </w:rPr>
        <w:t>甲方（</w:t>
      </w:r>
      <w:r>
        <w:rPr>
          <w:rFonts w:hint="eastAsia" w:eastAsia="黑体"/>
          <w:bCs/>
          <w:color w:val="auto"/>
          <w:sz w:val="30"/>
          <w:szCs w:val="30"/>
          <w:lang w:val="en-US" w:eastAsia="zh-CN"/>
        </w:rPr>
        <w:t>采购人</w:t>
      </w:r>
      <w:r>
        <w:rPr>
          <w:rFonts w:hint="eastAsia" w:eastAsia="黑体"/>
          <w:bCs/>
          <w:color w:val="auto"/>
          <w:sz w:val="30"/>
          <w:szCs w:val="30"/>
        </w:rPr>
        <w:t>）</w:t>
      </w:r>
    </w:p>
    <w:p w14:paraId="3723058A">
      <w:pPr>
        <w:adjustRightInd w:val="0"/>
        <w:snapToGrid w:val="0"/>
        <w:ind w:firstLine="1275" w:firstLineChars="425"/>
        <w:rPr>
          <w:rFonts w:eastAsia="黑体"/>
          <w:bCs/>
          <w:color w:val="auto"/>
          <w:sz w:val="30"/>
          <w:szCs w:val="30"/>
        </w:rPr>
      </w:pPr>
    </w:p>
    <w:p w14:paraId="67D79536">
      <w:pPr>
        <w:adjustRightInd w:val="0"/>
        <w:snapToGrid w:val="0"/>
        <w:rPr>
          <w:rFonts w:hint="eastAsia" w:eastAsia="黑体"/>
          <w:bCs/>
          <w:color w:val="auto"/>
          <w:sz w:val="30"/>
          <w:szCs w:val="30"/>
        </w:rPr>
      </w:pPr>
      <w:r>
        <w:rPr>
          <w:rFonts w:hint="eastAsia" w:eastAsia="黑体"/>
          <w:bCs/>
          <w:color w:val="auto"/>
          <w:sz w:val="30"/>
          <w:szCs w:val="30"/>
        </w:rPr>
        <w:t>乙方（招标代理机构）</w:t>
      </w:r>
    </w:p>
    <w:p w14:paraId="7F6CE61A">
      <w:pPr>
        <w:tabs>
          <w:tab w:val="left" w:pos="1440"/>
        </w:tabs>
        <w:adjustRightInd w:val="0"/>
        <w:snapToGrid w:val="0"/>
        <w:jc w:val="center"/>
        <w:rPr>
          <w:rFonts w:eastAsia="黑体"/>
          <w:b/>
          <w:bCs/>
          <w:sz w:val="30"/>
          <w:szCs w:val="30"/>
        </w:rPr>
      </w:pPr>
    </w:p>
    <w:p w14:paraId="7F114E7A">
      <w:pPr>
        <w:adjustRightInd w:val="0"/>
        <w:snapToGrid w:val="0"/>
        <w:jc w:val="center"/>
        <w:rPr>
          <w:rFonts w:eastAsia="黑体"/>
          <w:b/>
          <w:bCs/>
          <w:sz w:val="30"/>
          <w:szCs w:val="30"/>
        </w:rPr>
      </w:pPr>
    </w:p>
    <w:p w14:paraId="317F01E2">
      <w:pPr>
        <w:adjustRightInd w:val="0"/>
        <w:snapToGrid w:val="0"/>
        <w:rPr>
          <w:rFonts w:eastAsia="黑体"/>
          <w:b/>
          <w:bCs/>
          <w:sz w:val="30"/>
          <w:szCs w:val="30"/>
        </w:rPr>
      </w:pPr>
    </w:p>
    <w:p w14:paraId="5088E4F9">
      <w:pPr>
        <w:adjustRightInd w:val="0"/>
        <w:snapToGrid w:val="0"/>
        <w:rPr>
          <w:rFonts w:eastAsia="黑体"/>
          <w:b/>
          <w:bCs/>
          <w:sz w:val="30"/>
          <w:szCs w:val="30"/>
        </w:rPr>
      </w:pPr>
    </w:p>
    <w:p w14:paraId="2ED73EE2">
      <w:pPr>
        <w:adjustRightInd w:val="0"/>
        <w:snapToGrid w:val="0"/>
        <w:rPr>
          <w:rFonts w:eastAsia="黑体"/>
          <w:b/>
          <w:bCs/>
          <w:sz w:val="30"/>
          <w:szCs w:val="30"/>
        </w:rPr>
      </w:pPr>
    </w:p>
    <w:p w14:paraId="210E215F">
      <w:pPr>
        <w:adjustRightInd w:val="0"/>
        <w:snapToGrid w:val="0"/>
        <w:jc w:val="center"/>
        <w:rPr>
          <w:rFonts w:eastAsia="黑体"/>
          <w:b/>
          <w:bCs/>
          <w:sz w:val="30"/>
          <w:szCs w:val="30"/>
        </w:rPr>
      </w:pPr>
      <w:r>
        <w:rPr>
          <w:rFonts w:hint="eastAsia" w:eastAsia="黑体"/>
          <w:b/>
          <w:bCs/>
          <w:sz w:val="30"/>
          <w:szCs w:val="30"/>
        </w:rPr>
        <w:t>二○二</w:t>
      </w:r>
      <w:r>
        <w:rPr>
          <w:rFonts w:hint="eastAsia" w:eastAsia="黑体"/>
          <w:b/>
          <w:bCs/>
          <w:sz w:val="30"/>
          <w:szCs w:val="30"/>
          <w:lang w:val="en-US" w:eastAsia="zh-CN"/>
        </w:rPr>
        <w:t xml:space="preserve">    </w:t>
      </w:r>
      <w:r>
        <w:rPr>
          <w:rFonts w:hint="eastAsia" w:eastAsia="黑体"/>
          <w:b/>
          <w:bCs/>
          <w:sz w:val="30"/>
          <w:szCs w:val="30"/>
        </w:rPr>
        <w:t>年</w:t>
      </w:r>
    </w:p>
    <w:p w14:paraId="3EB7E6CD">
      <w:pPr>
        <w:adjustRightInd w:val="0"/>
        <w:snapToGrid w:val="0"/>
        <w:jc w:val="center"/>
        <w:rPr>
          <w:rFonts w:hint="eastAsia" w:ascii="宋体" w:hAnsi="宋体"/>
          <w:b/>
          <w:bCs/>
          <w:spacing w:val="-30"/>
          <w:sz w:val="52"/>
          <w:szCs w:val="52"/>
        </w:rPr>
        <w:sectPr>
          <w:pgSz w:w="11906" w:h="16838"/>
          <w:pgMar w:top="1440" w:right="1797" w:bottom="1440" w:left="1797" w:header="851" w:footer="992" w:gutter="0"/>
          <w:pgNumType w:fmt="decimal"/>
          <w:cols w:space="720" w:num="1"/>
          <w:docGrid w:type="lines" w:linePitch="312" w:charSpace="0"/>
        </w:sectPr>
      </w:pPr>
    </w:p>
    <w:p w14:paraId="4D569FE3">
      <w:pPr>
        <w:adjustRightInd w:val="0"/>
        <w:snapToGrid w:val="0"/>
        <w:jc w:val="center"/>
        <w:rPr>
          <w:rFonts w:ascii="宋体" w:hAnsi="宋体"/>
          <w:b/>
          <w:bCs/>
          <w:spacing w:val="-30"/>
          <w:sz w:val="52"/>
          <w:szCs w:val="52"/>
        </w:rPr>
      </w:pPr>
      <w:r>
        <w:rPr>
          <w:rFonts w:hint="eastAsia" w:ascii="宋体" w:hAnsi="宋体"/>
          <w:b/>
          <w:bCs/>
          <w:spacing w:val="-30"/>
          <w:sz w:val="52"/>
          <w:szCs w:val="52"/>
          <w:lang w:val="en-US" w:eastAsia="zh-CN"/>
        </w:rPr>
        <w:t>招标代理</w:t>
      </w:r>
      <w:r>
        <w:rPr>
          <w:rFonts w:hint="eastAsia" w:ascii="宋体" w:hAnsi="宋体"/>
          <w:b/>
          <w:bCs/>
          <w:spacing w:val="-30"/>
          <w:sz w:val="52"/>
          <w:szCs w:val="52"/>
        </w:rPr>
        <w:t>委托协议</w:t>
      </w:r>
    </w:p>
    <w:p w14:paraId="4A276963">
      <w:pPr>
        <w:tabs>
          <w:tab w:val="left" w:pos="3240"/>
        </w:tabs>
        <w:adjustRightInd w:val="0"/>
        <w:snapToGrid w:val="0"/>
        <w:spacing w:before="624" w:beforeLines="200" w:line="360" w:lineRule="auto"/>
        <w:rPr>
          <w:rFonts w:hint="eastAsia" w:ascii="宋体" w:hAnsi="宋体" w:eastAsia="宋体"/>
          <w:b/>
          <w:bCs/>
          <w:sz w:val="28"/>
          <w:szCs w:val="28"/>
          <w:lang w:eastAsia="zh-CN"/>
        </w:rPr>
      </w:pPr>
      <w:r>
        <w:rPr>
          <w:rFonts w:hint="eastAsia" w:ascii="宋体" w:hAnsi="宋体"/>
          <w:b/>
          <w:bCs/>
          <w:sz w:val="28"/>
          <w:szCs w:val="28"/>
        </w:rPr>
        <w:t>甲方（委托方）：</w:t>
      </w:r>
      <w:r>
        <w:rPr>
          <w:rFonts w:hint="eastAsia" w:ascii="宋体" w:hAnsi="宋体"/>
          <w:b/>
          <w:bCs/>
          <w:sz w:val="28"/>
          <w:szCs w:val="28"/>
          <w:lang w:eastAsia="zh-CN"/>
        </w:rPr>
        <w:t>暨南大学深圳旅游学院</w:t>
      </w:r>
    </w:p>
    <w:p w14:paraId="5E39207A">
      <w:pPr>
        <w:tabs>
          <w:tab w:val="left" w:pos="3240"/>
        </w:tabs>
        <w:adjustRightInd w:val="0"/>
        <w:snapToGrid w:val="0"/>
        <w:spacing w:line="360" w:lineRule="auto"/>
        <w:rPr>
          <w:rFonts w:hint="eastAsia" w:ascii="宋体" w:hAnsi="宋体" w:eastAsia="宋体"/>
          <w:b/>
          <w:bCs/>
          <w:sz w:val="28"/>
          <w:szCs w:val="28"/>
          <w:lang w:eastAsia="zh-CN"/>
        </w:rPr>
      </w:pPr>
      <w:r>
        <w:rPr>
          <w:rFonts w:hint="eastAsia" w:ascii="宋体" w:hAnsi="宋体"/>
          <w:b/>
          <w:bCs/>
          <w:sz w:val="28"/>
          <w:szCs w:val="28"/>
        </w:rPr>
        <w:t>乙方（被委托方）：</w:t>
      </w:r>
      <w:r>
        <w:rPr>
          <w:rFonts w:hint="eastAsia" w:eastAsia="黑体"/>
          <w:bCs/>
          <w:color w:val="FF0000"/>
          <w:sz w:val="30"/>
          <w:szCs w:val="30"/>
          <w:lang w:val="en-US" w:eastAsia="zh-CN"/>
        </w:rPr>
        <w:t>XX</w:t>
      </w:r>
      <w:r>
        <w:rPr>
          <w:rFonts w:hint="eastAsia" w:eastAsia="黑体"/>
          <w:bCs/>
          <w:color w:val="FF0000"/>
          <w:sz w:val="30"/>
          <w:szCs w:val="30"/>
        </w:rPr>
        <w:t>公司</w:t>
      </w:r>
    </w:p>
    <w:p w14:paraId="2ADD1210">
      <w:pPr>
        <w:tabs>
          <w:tab w:val="left" w:pos="3240"/>
        </w:tabs>
        <w:adjustRightInd w:val="0"/>
        <w:snapToGrid w:val="0"/>
        <w:spacing w:line="360" w:lineRule="auto"/>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依据《中华人民共和国</w:t>
      </w:r>
      <w:r>
        <w:rPr>
          <w:rFonts w:hint="eastAsia" w:ascii="宋体" w:hAnsi="宋体"/>
          <w:color w:val="000000"/>
          <w:sz w:val="28"/>
          <w:szCs w:val="28"/>
          <w:lang w:val="en-US" w:eastAsia="zh-CN"/>
        </w:rPr>
        <w:t>民法典</w:t>
      </w:r>
      <w:r>
        <w:rPr>
          <w:rFonts w:hint="eastAsia" w:ascii="宋体" w:hAnsi="宋体"/>
          <w:color w:val="000000"/>
          <w:sz w:val="28"/>
          <w:szCs w:val="28"/>
        </w:rPr>
        <w:t>》、《深圳经济特区政府采购条例》、《深圳经济特区政府采购条例实施细则》等有关规定，甲方自愿委托乙方</w:t>
      </w:r>
      <w:r>
        <w:rPr>
          <w:rFonts w:hint="eastAsia" w:ascii="宋体" w:hAnsi="宋体"/>
          <w:b/>
          <w:bCs/>
          <w:color w:val="000000"/>
          <w:sz w:val="28"/>
          <w:szCs w:val="28"/>
        </w:rPr>
        <w:t>（采购代理机构）</w:t>
      </w:r>
      <w:r>
        <w:rPr>
          <w:rFonts w:hint="eastAsia" w:ascii="宋体" w:hAnsi="宋体"/>
          <w:color w:val="000000"/>
          <w:sz w:val="28"/>
          <w:szCs w:val="28"/>
        </w:rPr>
        <w:t>就甲方</w:t>
      </w:r>
      <w:r>
        <w:rPr>
          <w:rFonts w:hint="eastAsia" w:ascii="宋体" w:hAnsi="宋体"/>
          <w:color w:val="000000"/>
          <w:sz w:val="28"/>
          <w:szCs w:val="28"/>
          <w:u w:val="single"/>
        </w:rPr>
        <w:t>采购委托招标项目</w:t>
      </w:r>
      <w:r>
        <w:rPr>
          <w:rFonts w:hint="eastAsia" w:ascii="宋体" w:hAnsi="宋体"/>
          <w:color w:val="000000"/>
          <w:sz w:val="28"/>
          <w:szCs w:val="28"/>
        </w:rPr>
        <w:t>进行招标代理，乙方愿意接受甲方的委托按照有关规定，在甲方委托范围内依法组织采购活动。经双方协商一致，</w:t>
      </w:r>
      <w:r>
        <w:rPr>
          <w:rFonts w:ascii="宋体" w:hAnsi="宋体"/>
          <w:color w:val="000000"/>
          <w:sz w:val="28"/>
          <w:szCs w:val="28"/>
        </w:rPr>
        <w:t>本着平等自愿、互惠互利的原则</w:t>
      </w:r>
      <w:r>
        <w:rPr>
          <w:rFonts w:hint="eastAsia" w:ascii="宋体" w:hAnsi="宋体"/>
          <w:color w:val="000000"/>
          <w:sz w:val="28"/>
          <w:szCs w:val="28"/>
        </w:rPr>
        <w:t>，签订本协议。</w:t>
      </w:r>
    </w:p>
    <w:p w14:paraId="15DA7A74">
      <w:pPr>
        <w:adjustRightInd w:val="0"/>
        <w:snapToGrid w:val="0"/>
        <w:spacing w:before="156" w:beforeLines="50" w:line="360" w:lineRule="auto"/>
        <w:rPr>
          <w:rFonts w:hint="eastAsia" w:ascii="宋体" w:hAnsi="宋体" w:eastAsia="宋体"/>
          <w:b/>
          <w:bCs/>
          <w:color w:val="000000"/>
          <w:sz w:val="28"/>
          <w:szCs w:val="28"/>
          <w:lang w:eastAsia="zh-CN"/>
        </w:rPr>
      </w:pPr>
      <w:r>
        <w:rPr>
          <w:rFonts w:hint="eastAsia" w:ascii="宋体" w:hAnsi="宋体"/>
          <w:b/>
          <w:bCs/>
          <w:color w:val="000000"/>
          <w:sz w:val="28"/>
          <w:szCs w:val="28"/>
        </w:rPr>
        <w:t xml:space="preserve">    一、委托范围和</w:t>
      </w:r>
      <w:r>
        <w:rPr>
          <w:rFonts w:hint="eastAsia" w:ascii="宋体" w:hAnsi="宋体"/>
          <w:b/>
          <w:bCs/>
          <w:color w:val="000000"/>
          <w:sz w:val="28"/>
          <w:szCs w:val="28"/>
          <w:lang w:val="en-US" w:eastAsia="zh-CN"/>
        </w:rPr>
        <w:t>期限</w:t>
      </w:r>
    </w:p>
    <w:p w14:paraId="5438DC3F">
      <w:pPr>
        <w:adjustRightInd w:val="0"/>
        <w:snapToGrid w:val="0"/>
        <w:spacing w:line="360" w:lineRule="auto"/>
        <w:ind w:firstLine="700"/>
        <w:rPr>
          <w:rFonts w:hint="eastAsia" w:ascii="宋体" w:hAnsi="宋体"/>
          <w:b w:val="0"/>
          <w:bCs/>
          <w:color w:val="000000"/>
          <w:sz w:val="28"/>
          <w:szCs w:val="28"/>
        </w:rPr>
      </w:pPr>
      <w:r>
        <w:rPr>
          <w:rFonts w:hint="eastAsia" w:ascii="宋体" w:hAnsi="宋体"/>
          <w:b w:val="0"/>
          <w:bCs/>
          <w:color w:val="000000"/>
          <w:sz w:val="28"/>
          <w:szCs w:val="28"/>
        </w:rPr>
        <w:t>1.委托范围：采购委托招标项目招标代理工作</w:t>
      </w:r>
      <w:r>
        <w:rPr>
          <w:rFonts w:hint="eastAsia" w:ascii="宋体" w:hAnsi="宋体"/>
          <w:b w:val="0"/>
          <w:bCs/>
          <w:color w:val="000000"/>
          <w:sz w:val="28"/>
          <w:szCs w:val="28"/>
          <w:lang w:eastAsia="zh-CN"/>
        </w:rPr>
        <w:t>。本代理协议的签订仅代表乙方具备承接甲方项目招标采购事宜的资格，并不代表确定的委托项目及数量。</w:t>
      </w:r>
      <w:r>
        <w:rPr>
          <w:rFonts w:hint="eastAsia" w:ascii="宋体" w:hAnsi="宋体"/>
          <w:b w:val="0"/>
          <w:bCs/>
          <w:color w:val="000000"/>
          <w:sz w:val="28"/>
          <w:szCs w:val="28"/>
          <w:lang w:val="en-US" w:eastAsia="zh-CN"/>
        </w:rPr>
        <w:t>具体项目的委托，甲方会派发委托单（见附件1），以委托单为准</w:t>
      </w:r>
      <w:r>
        <w:rPr>
          <w:rFonts w:hint="eastAsia" w:ascii="宋体" w:hAnsi="宋体"/>
          <w:b w:val="0"/>
          <w:bCs/>
          <w:color w:val="000000"/>
          <w:sz w:val="28"/>
          <w:szCs w:val="28"/>
        </w:rPr>
        <w:t>。</w:t>
      </w:r>
    </w:p>
    <w:p w14:paraId="63209AF6">
      <w:pPr>
        <w:adjustRightInd w:val="0"/>
        <w:snapToGrid w:val="0"/>
        <w:spacing w:line="360" w:lineRule="auto"/>
        <w:ind w:firstLine="700"/>
        <w:rPr>
          <w:rFonts w:ascii="宋体" w:hAnsi="宋体"/>
          <w:b w:val="0"/>
          <w:bCs/>
          <w:color w:val="000000"/>
          <w:sz w:val="28"/>
          <w:szCs w:val="28"/>
          <w:u w:val="single"/>
        </w:rPr>
      </w:pPr>
      <w:r>
        <w:rPr>
          <w:rFonts w:hint="eastAsia" w:ascii="宋体" w:hAnsi="宋体"/>
          <w:b w:val="0"/>
          <w:bCs/>
          <w:color w:val="000000"/>
          <w:sz w:val="28"/>
          <w:szCs w:val="28"/>
        </w:rPr>
        <w:t>所有具体项目的实施均应遵守本协议的约定。</w:t>
      </w:r>
    </w:p>
    <w:p w14:paraId="19DEA325">
      <w:pPr>
        <w:adjustRightInd w:val="0"/>
        <w:snapToGrid w:val="0"/>
        <w:spacing w:line="360" w:lineRule="auto"/>
        <w:ind w:left="-2" w:leftChars="-1" w:firstLine="134"/>
        <w:rPr>
          <w:rFonts w:hint="eastAsia" w:ascii="宋体" w:hAnsi="宋体"/>
          <w:b w:val="0"/>
          <w:bCs/>
          <w:color w:val="000000"/>
          <w:sz w:val="28"/>
          <w:szCs w:val="28"/>
          <w:lang w:val="en-US" w:eastAsia="zh-CN"/>
        </w:rPr>
      </w:pPr>
      <w:r>
        <w:rPr>
          <w:rFonts w:hint="eastAsia" w:ascii="宋体" w:hAnsi="宋体"/>
          <w:b w:val="0"/>
          <w:bCs/>
          <w:color w:val="000000"/>
          <w:sz w:val="28"/>
          <w:szCs w:val="28"/>
        </w:rPr>
        <w:t xml:space="preserve">    2.委托</w:t>
      </w:r>
      <w:r>
        <w:rPr>
          <w:rFonts w:hint="eastAsia" w:ascii="宋体" w:hAnsi="宋体"/>
          <w:b w:val="0"/>
          <w:bCs/>
          <w:color w:val="000000"/>
          <w:sz w:val="28"/>
          <w:szCs w:val="28"/>
          <w:lang w:val="en-US" w:eastAsia="zh-CN"/>
        </w:rPr>
        <w:t>期限</w:t>
      </w:r>
      <w:r>
        <w:rPr>
          <w:rFonts w:hint="eastAsia" w:ascii="宋体" w:hAnsi="宋体"/>
          <w:b w:val="0"/>
          <w:bCs/>
          <w:color w:val="000000"/>
          <w:sz w:val="28"/>
          <w:szCs w:val="28"/>
        </w:rPr>
        <w:t>：</w:t>
      </w:r>
      <w:r>
        <w:rPr>
          <w:rFonts w:hint="eastAsia" w:ascii="宋体" w:hAnsi="宋体"/>
          <w:b w:val="0"/>
          <w:bCs/>
          <w:color w:val="000000"/>
          <w:sz w:val="28"/>
          <w:szCs w:val="28"/>
          <w:lang w:val="en-US" w:eastAsia="zh-CN"/>
        </w:rPr>
        <w:t>自合同签订之日起一年。</w:t>
      </w:r>
    </w:p>
    <w:p w14:paraId="517A455B">
      <w:pPr>
        <w:adjustRightInd w:val="0"/>
        <w:snapToGrid w:val="0"/>
        <w:spacing w:line="360" w:lineRule="auto"/>
        <w:ind w:firstLine="700"/>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每个项目的委托自委托单派发给乙方起，至采购代理项目归档文件移交给甲方，及代理服务相关费用支付给乙方完毕止。</w:t>
      </w:r>
    </w:p>
    <w:p w14:paraId="7FB75F1D">
      <w:pPr>
        <w:pStyle w:val="6"/>
        <w:rPr>
          <w:rFonts w:hint="eastAsia"/>
          <w:color w:val="000000"/>
          <w:lang w:val="en-US" w:eastAsia="zh-CN"/>
        </w:rPr>
      </w:pPr>
    </w:p>
    <w:p w14:paraId="01A03684">
      <w:pPr>
        <w:pStyle w:val="6"/>
        <w:rPr>
          <w:rFonts w:hint="eastAsia"/>
          <w:color w:val="000000"/>
          <w:lang w:val="en-US" w:eastAsia="zh-CN"/>
        </w:rPr>
      </w:pPr>
    </w:p>
    <w:p w14:paraId="566D7C18">
      <w:pPr>
        <w:adjustRightInd w:val="0"/>
        <w:snapToGrid w:val="0"/>
        <w:spacing w:before="156" w:beforeLines="50" w:line="360" w:lineRule="auto"/>
        <w:ind w:firstLine="562" w:firstLineChars="200"/>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二、委托代理范围</w:t>
      </w:r>
    </w:p>
    <w:p w14:paraId="6ACCC0F0">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1.按照国家和广东省现行有关法律法规，及甲方采购要求开展项目采购活动；</w:t>
      </w:r>
    </w:p>
    <w:p w14:paraId="29D9F202">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2.组织专家论证：进口产品论证、采购需求论证、采购方式论证以及采购文件论证等（如项目需要）；</w:t>
      </w:r>
    </w:p>
    <w:p w14:paraId="27056AC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3.根据委托项目特点，制定切实可行的采购方案与合理化建议，编制采购文件，经甲方审核确认后实施；</w:t>
      </w:r>
    </w:p>
    <w:p w14:paraId="4F5017DB">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4.按照采购活动流程，办理采购活动相关手续；</w:t>
      </w:r>
    </w:p>
    <w:p w14:paraId="759CBC80">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5.负责在相关媒体发布采购活动信息；</w:t>
      </w:r>
    </w:p>
    <w:p w14:paraId="37EDF58B">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6.根据项目需要，组织答疑会、现场踏勘，出具会议纪要；</w:t>
      </w:r>
    </w:p>
    <w:p w14:paraId="791867F2">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7.依法组建评审委员会；</w:t>
      </w:r>
    </w:p>
    <w:p w14:paraId="3D88868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8.依法组织开标（开启）、评审工作；</w:t>
      </w:r>
    </w:p>
    <w:p w14:paraId="482D1BA6">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9.接受甲方委托，依法对供应商进行资格审查（适用于采用公开招标及邀请招标方式项目）；</w:t>
      </w:r>
    </w:p>
    <w:p w14:paraId="0A63879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10.向中标人（成交供应商）发放中标（成交）通知书；</w:t>
      </w:r>
    </w:p>
    <w:p w14:paraId="2FF6D84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11.收存、整理采购活动全过程形成的所有文件；采购活动完成后，向甲方移交采购项目归档资料；</w:t>
      </w:r>
    </w:p>
    <w:p w14:paraId="523B9DF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12.法律法规规定的其他事项。</w:t>
      </w:r>
    </w:p>
    <w:p w14:paraId="36D84663">
      <w:pPr>
        <w:adjustRightInd w:val="0"/>
        <w:snapToGrid w:val="0"/>
        <w:spacing w:before="156" w:beforeLines="50" w:line="360" w:lineRule="auto"/>
        <w:ind w:firstLine="562" w:firstLineChars="200"/>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lang w:val="en-US" w:eastAsia="zh-CN"/>
        </w:rPr>
        <w:t>三</w:t>
      </w:r>
      <w:r>
        <w:rPr>
          <w:rFonts w:hint="eastAsia" w:ascii="宋体" w:hAnsi="宋体" w:eastAsia="宋体" w:cs="Times New Roman"/>
          <w:b/>
          <w:bCs/>
          <w:color w:val="000000"/>
          <w:sz w:val="28"/>
          <w:szCs w:val="28"/>
          <w:lang w:eastAsia="zh-CN"/>
        </w:rPr>
        <w:t>、</w:t>
      </w:r>
      <w:r>
        <w:rPr>
          <w:rFonts w:hint="eastAsia" w:ascii="宋体" w:hAnsi="宋体" w:eastAsia="宋体" w:cs="Times New Roman"/>
          <w:b/>
          <w:bCs/>
          <w:color w:val="000000"/>
          <w:sz w:val="28"/>
          <w:szCs w:val="28"/>
        </w:rPr>
        <w:t>甲方的权利和义务</w:t>
      </w:r>
    </w:p>
    <w:p w14:paraId="7C249BC5">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1.指定专人与乙方处理本项目的有关事宜；</w:t>
      </w:r>
    </w:p>
    <w:p w14:paraId="050C4851">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2.按照《关于开展政府采购意向公开工作的通知》（财库〔2020〕10号）要求，完成公开政府采购意向，不得晚于采购活动开始前30日公开采购意向；</w:t>
      </w:r>
    </w:p>
    <w:p w14:paraId="2F1754B0">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3.如资金来源为省级的，需在广东省政府采购网上发布项目计划；如资金来源为市级或区级的，需在广东省政府采购网及广州市政府采购网上发布项目计划。</w:t>
      </w:r>
    </w:p>
    <w:p w14:paraId="4B09DFE5">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甲方需以采购人的身份登录上述网站进行政府采购计划备案；备案通过后在网上点击委托乙方；</w:t>
      </w:r>
    </w:p>
    <w:p w14:paraId="7AE2C0F4">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4.及时提供委托项目的资料及《采购需求》，包括：（1）采购标的需实现的功能或者目标，以及为落实政府采购政策需满足的要求；（2）采购标的需执行的国家相关标准、行业标准、地方标准或者其他标准、规范；（3）采购标的需满足的质量、安全、技术规格、物理特性等要求；（4）采购标的的数量、采购项目交付或者实施的时间和地点；（5）采购标的需满足的服务标准、期限、效率等要求；（6）采购标的的验收标准；（7）采购标的的其他技术、服务等要求；</w:t>
      </w:r>
    </w:p>
    <w:p w14:paraId="01AA2348">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5.及时审核并书面确认采购文件（包括评审办法与标准），确认采购活动时间安排等；</w:t>
      </w:r>
    </w:p>
    <w:p w14:paraId="29B96EE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6.自采购信息公告发出后，对采购文件的任何修改（包括采购需求、评审办法及标准等），均须提供加盖公章的书面修改文件；</w:t>
      </w:r>
    </w:p>
    <w:p w14:paraId="6C6B2C9C">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7.协助乙方对采购文件进行澄清和答疑工作；如果项目需要现场踏勘，协助乙方组织相关人员到场介绍项目相关情况。</w:t>
      </w:r>
    </w:p>
    <w:p w14:paraId="2EC0F0E9">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8.如有派出参加开标（开启）的监督人（或工作人员），须按《项目时间安排表》时间，准时到达开标（开启）现场；</w:t>
      </w:r>
    </w:p>
    <w:p w14:paraId="42E2EE2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9.依法授权的采购人代表须按《项目时间安排表》时间准时到达评审现场，并向乙方提交已加盖公章的《采购人代表委派表》，参加评审工作；</w:t>
      </w:r>
    </w:p>
    <w:p w14:paraId="2C8DDBEE">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10.自收到《评审报告》之日起5个工作日内确定评审结果；并在《评审结果确认表》的落款时间起1个工作日内将其交给乙方，以便乙方在法定时间内发布《中标（成交）公告》；</w:t>
      </w:r>
    </w:p>
    <w:p w14:paraId="33C1F938">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11.及时支付或督促中标人（成交供应商）向乙方及时交纳项目代理服务相关费用；中标人（成交供应商）如未及时交纳，甲方应将支付给中标人（成交供应商）的采购项目款项进行保留，至中标人（成交供应商）向乙方交纳项目代理服务相关费用为止；</w:t>
      </w:r>
    </w:p>
    <w:p w14:paraId="77ED6C15">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12.依法答复供应商的询问、质疑和协助监督部门处理投诉调查事项；</w:t>
      </w:r>
    </w:p>
    <w:p w14:paraId="60607A38">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13.保守采购活动中的商业秘密。</w:t>
      </w:r>
    </w:p>
    <w:p w14:paraId="1912F02A">
      <w:pPr>
        <w:spacing w:beforeLines="50" w:afterLines="50" w:line="480" w:lineRule="exact"/>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四</w:t>
      </w:r>
      <w:r>
        <w:rPr>
          <w:rFonts w:hint="eastAsia" w:ascii="黑体" w:hAnsi="黑体" w:eastAsia="黑体" w:cs="黑体"/>
          <w:b/>
          <w:color w:val="000000"/>
          <w:sz w:val="28"/>
          <w:szCs w:val="28"/>
        </w:rPr>
        <w:t>、乙方的权利和义务</w:t>
      </w:r>
    </w:p>
    <w:p w14:paraId="6CC659F9">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1.指定专人与甲方处理本项目有关事宜；</w:t>
      </w:r>
    </w:p>
    <w:p w14:paraId="5FFA68D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联 系 人：</w:t>
      </w:r>
    </w:p>
    <w:p w14:paraId="2DD58184">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联系电话：</w:t>
      </w:r>
    </w:p>
    <w:p w14:paraId="4D3B8F78">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2.为甲方采购工作提供法律法规咨询服务；</w:t>
      </w:r>
    </w:p>
    <w:p w14:paraId="374F592E">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3.根据项目需要，组织专家论证（进口产品论证、采购需求论证、采购文件论证以及采购方式论证等）；</w:t>
      </w:r>
    </w:p>
    <w:p w14:paraId="0123F0A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4.组织实施项目采购活动中的各项工作，包括但不限于以下内容：</w:t>
      </w:r>
    </w:p>
    <w:p w14:paraId="1145AE0A">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（1）接收甲方交付的采购项目资料（包括但不限于《采购需求》），编制采购文件，并报甲方审核确认；</w:t>
      </w:r>
    </w:p>
    <w:p w14:paraId="1450064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（2）向甲方提供《项目时间安排表》；</w:t>
      </w:r>
    </w:p>
    <w:p w14:paraId="164D080C">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（3）根据采购项目需要，发布采购信息公告，包括采购公告、更正公告、延期公告、中标（成交）公告、暂停公告以及终止公告；</w:t>
      </w:r>
    </w:p>
    <w:p w14:paraId="2EBC5145">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（4）发售采购文件；</w:t>
      </w:r>
    </w:p>
    <w:p w14:paraId="4D6981B2">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（5）根据项目需要，组织答疑会、现场踏勘，出具会议纪要；</w:t>
      </w:r>
    </w:p>
    <w:p w14:paraId="37E9E62A">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（6）自采购信息公告发出后，均须收到经甲方加盖公章的书面修改文件，方可对采购文件进行修改（包括采购需求、评审办法及标准等）；</w:t>
      </w:r>
    </w:p>
    <w:p w14:paraId="41DB95EC">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（7）收取与退还供应商投标（响应）保证金；</w:t>
      </w:r>
    </w:p>
    <w:p w14:paraId="0099C490">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（8）依法组建评审委员会；</w:t>
      </w:r>
    </w:p>
    <w:p w14:paraId="06439AB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（9）依法组织开标（开启）、评审工作；</w:t>
      </w:r>
    </w:p>
    <w:p w14:paraId="4EC995F1">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（10）接受甲方委托，依法对供应商进行资格审查（适用于采用公开招标及邀请招标方式项目）；</w:t>
      </w:r>
    </w:p>
    <w:p w14:paraId="2111FA95">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（11）评审结束之日起，2个工作日内将《评审结果确认表》、《评审报告》（复印件）送交甲方；</w:t>
      </w:r>
    </w:p>
    <w:p w14:paraId="7618A98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（12）自收到甲方的《评审结果确认表》之日起在法定时间内发布中标（成交）公告；</w:t>
      </w:r>
    </w:p>
    <w:p w14:paraId="42582616">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（13）发放中标（成交）通知书；</w:t>
      </w:r>
    </w:p>
    <w:p w14:paraId="12E3D266">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（14）向甲方移交采购代理项目归档文件：包括</w:t>
      </w:r>
      <w:r>
        <w:rPr>
          <w:rFonts w:hint="eastAsia" w:ascii="宋体" w:hAnsi="宋体" w:eastAsia="宋体" w:cs="Times New Roman"/>
          <w:b w:val="0"/>
          <w:bCs/>
          <w:color w:val="000000"/>
          <w:sz w:val="28"/>
          <w:szCs w:val="28"/>
          <w:lang w:val="en-US" w:eastAsia="zh-CN"/>
        </w:rPr>
        <w:t>但不限于</w:t>
      </w:r>
      <w:r>
        <w:rPr>
          <w:rFonts w:hint="eastAsia" w:ascii="宋体" w:hAnsi="宋体" w:eastAsia="宋体" w:cs="Times New Roman"/>
          <w:b w:val="0"/>
          <w:bCs/>
          <w:color w:val="000000"/>
          <w:sz w:val="28"/>
          <w:szCs w:val="28"/>
        </w:rPr>
        <w:t>中标人（成交供应商）投标（响应）文件副本、采购文件以及其他文件复印件【评审报告、中标（成交）结果确认函、中标（成交）通知书等】；</w:t>
      </w:r>
    </w:p>
    <w:p w14:paraId="40BC92E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lang w:val="en-US" w:eastAsia="zh-CN"/>
        </w:rPr>
        <w:t>（15）按政府采购档案要求做好采购资料保管；</w:t>
      </w:r>
    </w:p>
    <w:p w14:paraId="0AF817D5">
      <w:pPr>
        <w:adjustRightInd w:val="0"/>
        <w:snapToGrid w:val="0"/>
        <w:spacing w:line="360" w:lineRule="auto"/>
        <w:ind w:firstLine="700"/>
        <w:rPr>
          <w:rFonts w:hint="eastAsia" w:ascii="宋体" w:hAnsi="宋体" w:eastAsia="宋体" w:cs="Times New Roman"/>
          <w:b w:val="0"/>
          <w:bCs/>
          <w:color w:val="000000"/>
          <w:sz w:val="28"/>
          <w:szCs w:val="28"/>
          <w:lang w:eastAsia="zh-CN"/>
        </w:rPr>
      </w:pPr>
      <w:r>
        <w:rPr>
          <w:rFonts w:hint="eastAsia" w:ascii="宋体" w:hAnsi="宋体" w:eastAsia="宋体" w:cs="Times New Roman"/>
          <w:b w:val="0"/>
          <w:bCs/>
          <w:color w:val="000000"/>
          <w:sz w:val="28"/>
          <w:szCs w:val="28"/>
        </w:rPr>
        <w:t>（1</w:t>
      </w:r>
      <w:r>
        <w:rPr>
          <w:rFonts w:hint="eastAsia" w:ascii="宋体" w:hAnsi="宋体" w:eastAsia="宋体" w:cs="Times New Roman"/>
          <w:b w:val="0"/>
          <w:bCs/>
          <w:color w:val="000000"/>
          <w:sz w:val="28"/>
          <w:szCs w:val="28"/>
          <w:lang w:val="en-US" w:eastAsia="zh-CN"/>
        </w:rPr>
        <w:t>6</w:t>
      </w:r>
      <w:r>
        <w:rPr>
          <w:rFonts w:hint="eastAsia" w:ascii="宋体" w:hAnsi="宋体" w:eastAsia="宋体" w:cs="Times New Roman"/>
          <w:b w:val="0"/>
          <w:bCs/>
          <w:color w:val="000000"/>
          <w:sz w:val="28"/>
          <w:szCs w:val="28"/>
        </w:rPr>
        <w:t>）依法答复供应商的询问、质疑和协助监督部门处理投诉调查事项</w:t>
      </w:r>
      <w:r>
        <w:rPr>
          <w:rFonts w:hint="eastAsia" w:ascii="宋体" w:hAnsi="宋体" w:eastAsia="宋体" w:cs="Times New Roman"/>
          <w:b w:val="0"/>
          <w:bCs/>
          <w:color w:val="000000"/>
          <w:sz w:val="28"/>
          <w:szCs w:val="28"/>
          <w:lang w:eastAsia="zh-CN"/>
        </w:rPr>
        <w:t>。</w:t>
      </w:r>
    </w:p>
    <w:p w14:paraId="60225174">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5.协助甲方与中标人（成交供应商）采购合同的签订，并协助处理合同签订过程中出现的纠纷；</w:t>
      </w:r>
    </w:p>
    <w:p w14:paraId="529E6894">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6.根据甲方要求，组织履约联合验收事项；</w:t>
      </w:r>
    </w:p>
    <w:p w14:paraId="664CE6FE">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7.维护甲方合法权益；</w:t>
      </w:r>
    </w:p>
    <w:p w14:paraId="23C46AA6">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8.保守采购活动中的商业秘密；</w:t>
      </w:r>
    </w:p>
    <w:p w14:paraId="63149B9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9.依法收取代理服务相关费用，承担本项目采购活动发生的费用；</w:t>
      </w:r>
    </w:p>
    <w:p w14:paraId="47DEB4B1">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10.法律法规规定的其他事项。</w:t>
      </w:r>
    </w:p>
    <w:p w14:paraId="7595A036">
      <w:pPr>
        <w:spacing w:beforeLines="50" w:afterLines="50" w:line="480" w:lineRule="exact"/>
        <w:ind w:firstLine="562" w:firstLineChars="200"/>
        <w:outlineLvl w:val="0"/>
        <w:rPr>
          <w:rFonts w:hint="eastAsia" w:ascii="黑体" w:hAnsi="黑体" w:eastAsia="黑体" w:cs="黑体"/>
          <w:b/>
          <w:color w:val="000000"/>
          <w:sz w:val="28"/>
          <w:szCs w:val="28"/>
          <w:lang w:val="en-US" w:eastAsia="zh-CN"/>
        </w:rPr>
      </w:pPr>
      <w:r>
        <w:rPr>
          <w:rFonts w:hint="eastAsia" w:ascii="黑体" w:hAnsi="黑体" w:eastAsia="黑体" w:cs="黑体"/>
          <w:b/>
          <w:color w:val="000000"/>
          <w:sz w:val="28"/>
          <w:szCs w:val="28"/>
          <w:lang w:val="en-US" w:eastAsia="zh-CN"/>
        </w:rPr>
        <w:t>五、代理服务相关费用</w:t>
      </w:r>
    </w:p>
    <w:p w14:paraId="686F1D58">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1.代理服务相关费用支付方：本项目相关费用由</w:t>
      </w:r>
      <w:r>
        <w:rPr>
          <w:rFonts w:hint="eastAsia" w:ascii="宋体" w:hAnsi="宋体" w:eastAsia="宋体" w:cs="Times New Roman"/>
          <w:b w:val="0"/>
          <w:bCs/>
          <w:color w:val="000000"/>
          <w:sz w:val="28"/>
          <w:szCs w:val="28"/>
        </w:rPr>
        <w:sym w:font="Wingdings 2" w:char="F052"/>
      </w:r>
      <w:r>
        <w:rPr>
          <w:rFonts w:hint="eastAsia" w:ascii="宋体" w:hAnsi="宋体" w:eastAsia="宋体" w:cs="Times New Roman"/>
          <w:b w:val="0"/>
          <w:bCs/>
          <w:color w:val="000000"/>
          <w:sz w:val="28"/>
          <w:szCs w:val="28"/>
        </w:rPr>
        <w:t>中标人（成交供应商）/</w:t>
      </w:r>
      <w:r>
        <w:rPr>
          <w:rFonts w:hint="eastAsia" w:ascii="宋体" w:hAnsi="宋体" w:eastAsia="宋体" w:cs="Times New Roman"/>
          <w:b w:val="0"/>
          <w:bCs/>
          <w:color w:val="000000"/>
          <w:sz w:val="28"/>
          <w:szCs w:val="28"/>
        </w:rPr>
        <w:fldChar w:fldCharType="begin"/>
      </w:r>
      <w:r>
        <w:rPr>
          <w:rFonts w:hint="eastAsia" w:ascii="宋体" w:hAnsi="宋体" w:eastAsia="宋体" w:cs="Times New Roman"/>
          <w:b w:val="0"/>
          <w:bCs/>
          <w:color w:val="000000"/>
          <w:sz w:val="28"/>
          <w:szCs w:val="28"/>
        </w:rPr>
        <w:instrText xml:space="preserve"> eq \o\ac(□)</w:instrText>
      </w:r>
      <w:r>
        <w:rPr>
          <w:rFonts w:hint="eastAsia" w:ascii="宋体" w:hAnsi="宋体" w:eastAsia="宋体" w:cs="Times New Roman"/>
          <w:b w:val="0"/>
          <w:bCs/>
          <w:color w:val="000000"/>
          <w:sz w:val="28"/>
          <w:szCs w:val="28"/>
        </w:rPr>
        <w:fldChar w:fldCharType="end"/>
      </w:r>
      <w:r>
        <w:rPr>
          <w:rFonts w:hint="eastAsia" w:ascii="宋体" w:hAnsi="宋体" w:eastAsia="宋体" w:cs="Times New Roman"/>
          <w:b w:val="0"/>
          <w:bCs/>
          <w:color w:val="000000"/>
          <w:sz w:val="28"/>
          <w:szCs w:val="28"/>
        </w:rPr>
        <w:t>甲方向乙方一次性支付。</w:t>
      </w:r>
    </w:p>
    <w:p w14:paraId="79BD1937">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如由中标人（成交供应商）支付的，甲方有责任督促中标人（成交供应商）及时交纳，甲方无须向乙方支付任何费用。</w:t>
      </w:r>
    </w:p>
    <w:p w14:paraId="3E88779C">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2.如项目需要进行论证工作的，相关费用另行计收；</w:t>
      </w:r>
    </w:p>
    <w:p w14:paraId="70EC6D0A">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3.本项目采购活动的评审专家劳务费标准（包括税费）依据【财库〔2016〕198号】及相关规定按实计收；</w:t>
      </w:r>
    </w:p>
    <w:p w14:paraId="0D4D72A3">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4.采购代理服务费：收取采购文件制作费，采购代理服务费收取标准：</w:t>
      </w:r>
    </w:p>
    <w:p w14:paraId="2E135A59">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（1）单个委托采购项目总预算金额达 100 万元及以上的，收费标准参照中华人民共和国国家发展计划委员会颁发的计价格〔2002〕1980 号、发改办价格〔2003〕857 号及发改价格〔2011〕534 号文规定的标准费率下浮 20%收取；</w:t>
      </w:r>
    </w:p>
    <w:p w14:paraId="1BCAA336">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（2）单个委托采购项目总预算金额 100 万元以下的，收费标准参照中华人民共和国国家发展计划委员会颁发的计价格〔2002〕1980 号、发改办价格〔2003〕857 号及发改价格〔2011〕534 号文规定的标准费率收取，最低收费</w:t>
      </w:r>
      <w:r>
        <w:rPr>
          <w:rFonts w:hint="eastAsia" w:ascii="宋体" w:hAnsi="宋体" w:eastAsia="宋体" w:cs="Times New Roman"/>
          <w:b w:val="0"/>
          <w:bCs/>
          <w:color w:val="000000"/>
          <w:sz w:val="28"/>
          <w:szCs w:val="28"/>
          <w:lang w:val="en-US" w:eastAsia="zh-CN"/>
        </w:rPr>
        <w:t>4</w:t>
      </w:r>
      <w:r>
        <w:rPr>
          <w:rFonts w:hint="eastAsia" w:ascii="宋体" w:hAnsi="宋体" w:eastAsia="宋体" w:cs="Times New Roman"/>
          <w:b w:val="0"/>
          <w:bCs/>
          <w:color w:val="000000"/>
          <w:sz w:val="28"/>
          <w:szCs w:val="28"/>
        </w:rPr>
        <w:t>000元。</w:t>
      </w:r>
    </w:p>
    <w:p w14:paraId="3774038D">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5.组织履约联合验收费：如需邀请专家进行履约联合验收的，相关的专家劳务费，另行计收。</w:t>
      </w:r>
    </w:p>
    <w:p w14:paraId="7CCF71E8">
      <w:pPr>
        <w:spacing w:beforeLines="50" w:afterLines="50" w:line="480" w:lineRule="exact"/>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六</w:t>
      </w:r>
      <w:r>
        <w:rPr>
          <w:rFonts w:hint="eastAsia" w:ascii="黑体" w:hAnsi="黑体" w:eastAsia="黑体" w:cs="黑体"/>
          <w:b/>
          <w:color w:val="000000"/>
          <w:sz w:val="28"/>
          <w:szCs w:val="28"/>
        </w:rPr>
        <w:t>、协议的变更和终止</w:t>
      </w:r>
    </w:p>
    <w:p w14:paraId="1816BE6C">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甲乙双方在协商一致的情况下，根据《中华人民共和国合同法》《中华人民共和国招标投标法》《中华人民共和国政府采购法》及相关法律法规规定，对委托协议内容做出变更；如作出变更的应当签订补充协议；如发生了不可抗力或重大变故等原因，致使采购项目发生更改或取消的，应签订补充协议或终止本协议。</w:t>
      </w:r>
    </w:p>
    <w:p w14:paraId="02DC6F7B">
      <w:pPr>
        <w:spacing w:beforeLines="50" w:afterLines="50" w:line="480" w:lineRule="exact"/>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七</w:t>
      </w:r>
      <w:r>
        <w:rPr>
          <w:rFonts w:hint="eastAsia" w:ascii="黑体" w:hAnsi="黑体" w:eastAsia="黑体" w:cs="黑体"/>
          <w:b/>
          <w:color w:val="000000"/>
          <w:sz w:val="28"/>
          <w:szCs w:val="28"/>
        </w:rPr>
        <w:t>、违约责任</w:t>
      </w:r>
    </w:p>
    <w:p w14:paraId="332264B1">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甲乙双方应遵守有关法律、法规、规章的规定和本协议的约定，否则，将承担相应的法律责任。因违约造成经济损失的，由违约方承担。</w:t>
      </w:r>
    </w:p>
    <w:p w14:paraId="409DBED5">
      <w:pPr>
        <w:spacing w:beforeLines="50" w:afterLines="50" w:line="480" w:lineRule="exact"/>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八</w:t>
      </w:r>
      <w:r>
        <w:rPr>
          <w:rFonts w:hint="eastAsia" w:ascii="黑体" w:hAnsi="黑体" w:eastAsia="黑体" w:cs="黑体"/>
          <w:b/>
          <w:color w:val="000000"/>
          <w:sz w:val="28"/>
          <w:szCs w:val="28"/>
        </w:rPr>
        <w:t>、争议的解决</w:t>
      </w:r>
    </w:p>
    <w:p w14:paraId="788226CF">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若双方发生争议，可由双方共同协商解决。</w:t>
      </w:r>
    </w:p>
    <w:p w14:paraId="2F16AFF8">
      <w:pPr>
        <w:spacing w:beforeLines="50" w:afterLines="50" w:line="480" w:lineRule="exact"/>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九</w:t>
      </w:r>
      <w:r>
        <w:rPr>
          <w:rFonts w:hint="eastAsia" w:ascii="黑体" w:hAnsi="黑体" w:eastAsia="黑体" w:cs="黑体"/>
          <w:b/>
          <w:color w:val="000000"/>
          <w:sz w:val="28"/>
          <w:szCs w:val="28"/>
        </w:rPr>
        <w:t>、其他</w:t>
      </w:r>
    </w:p>
    <w:p w14:paraId="0CF20A53">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1.2021年代理库招标公告、投标文件为本协议的组成部分。</w:t>
      </w:r>
    </w:p>
    <w:p w14:paraId="1DF25D52">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lang w:val="en-US" w:eastAsia="zh-CN"/>
        </w:rPr>
        <w:t>2.</w:t>
      </w:r>
      <w:r>
        <w:rPr>
          <w:rFonts w:hint="eastAsia" w:ascii="宋体" w:hAnsi="宋体" w:eastAsia="宋体" w:cs="Times New Roman"/>
          <w:b w:val="0"/>
          <w:bCs/>
          <w:color w:val="000000"/>
          <w:sz w:val="28"/>
          <w:szCs w:val="28"/>
        </w:rPr>
        <w:t>本协议自甲乙双方签字盖章之日起生效。本协议一式四份，甲乙双方各执二份。</w:t>
      </w:r>
    </w:p>
    <w:p w14:paraId="3FDD1900">
      <w:pPr>
        <w:adjustRightInd w:val="0"/>
        <w:snapToGrid w:val="0"/>
        <w:spacing w:line="360" w:lineRule="auto"/>
        <w:ind w:firstLine="700"/>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rPr>
        <w:t>2.其他未尽事宜由双方协商后解决。</w:t>
      </w:r>
    </w:p>
    <w:p w14:paraId="12179288">
      <w:pPr>
        <w:pStyle w:val="6"/>
        <w:rPr>
          <w:color w:val="000000"/>
        </w:rPr>
      </w:pPr>
    </w:p>
    <w:p w14:paraId="65D82071">
      <w:pPr>
        <w:rPr>
          <w:color w:val="000000"/>
        </w:rPr>
      </w:pPr>
    </w:p>
    <w:p w14:paraId="12C4E289">
      <w:pPr>
        <w:pStyle w:val="6"/>
        <w:rPr>
          <w:color w:val="000000"/>
        </w:rPr>
      </w:pPr>
    </w:p>
    <w:p w14:paraId="67449410">
      <w:pPr>
        <w:spacing w:line="600" w:lineRule="auto"/>
        <w:outlineLvl w:val="0"/>
        <w:rPr>
          <w:rFonts w:hint="eastAsia" w:ascii="黑体" w:hAnsi="黑体" w:eastAsia="黑体" w:cs="黑体"/>
          <w:b/>
          <w:color w:val="000000"/>
          <w:sz w:val="28"/>
          <w:szCs w:val="28"/>
          <w:lang w:eastAsia="zh-CN"/>
        </w:rPr>
      </w:pPr>
      <w:r>
        <w:rPr>
          <w:rFonts w:hint="eastAsia" w:ascii="黑体" w:hAnsi="黑体" w:eastAsia="黑体" w:cs="黑体"/>
          <w:b/>
          <w:color w:val="000000"/>
          <w:sz w:val="28"/>
          <w:szCs w:val="28"/>
        </w:rPr>
        <w:t>附件：</w:t>
      </w:r>
      <w:r>
        <w:rPr>
          <w:rFonts w:hint="eastAsia" w:ascii="黑体" w:hAnsi="黑体" w:eastAsia="黑体" w:cs="黑体"/>
          <w:b/>
          <w:color w:val="000000"/>
          <w:sz w:val="28"/>
          <w:szCs w:val="28"/>
          <w:lang w:val="en-US" w:eastAsia="zh-CN"/>
        </w:rPr>
        <w:t>1.</w:t>
      </w:r>
      <w:r>
        <w:rPr>
          <w:rFonts w:hint="eastAsia" w:ascii="黑体" w:hAnsi="黑体" w:eastAsia="黑体" w:cs="黑体"/>
          <w:b/>
          <w:color w:val="000000"/>
          <w:sz w:val="28"/>
          <w:szCs w:val="28"/>
          <w:lang w:eastAsia="zh-CN"/>
        </w:rPr>
        <w:t>《</w:t>
      </w:r>
      <w:r>
        <w:rPr>
          <w:rFonts w:hint="eastAsia" w:ascii="黑体" w:hAnsi="黑体" w:eastAsia="黑体" w:cs="黑体"/>
          <w:b/>
          <w:color w:val="000000"/>
          <w:sz w:val="28"/>
          <w:szCs w:val="28"/>
          <w:lang w:val="en-US" w:eastAsia="zh-CN"/>
        </w:rPr>
        <w:t>委托单</w:t>
      </w:r>
      <w:r>
        <w:rPr>
          <w:rFonts w:hint="eastAsia" w:ascii="黑体" w:hAnsi="黑体" w:eastAsia="黑体" w:cs="黑体"/>
          <w:b/>
          <w:color w:val="000000"/>
          <w:sz w:val="28"/>
          <w:szCs w:val="28"/>
          <w:lang w:eastAsia="zh-CN"/>
        </w:rPr>
        <w:t>》</w:t>
      </w:r>
    </w:p>
    <w:p w14:paraId="119B6C1A">
      <w:pPr>
        <w:spacing w:line="600" w:lineRule="auto"/>
        <w:ind w:firstLine="843" w:firstLineChars="300"/>
        <w:outlineLvl w:val="0"/>
        <w:rPr>
          <w:rFonts w:ascii="黑体" w:hAnsi="黑体" w:eastAsia="黑体" w:cs="黑体"/>
          <w:b/>
          <w:color w:val="000000"/>
          <w:sz w:val="28"/>
          <w:szCs w:val="28"/>
        </w:rPr>
      </w:pPr>
      <w:r>
        <w:rPr>
          <w:rFonts w:hint="eastAsia" w:ascii="黑体" w:hAnsi="黑体" w:eastAsia="黑体" w:cs="黑体"/>
          <w:b/>
          <w:color w:val="000000"/>
          <w:sz w:val="28"/>
          <w:szCs w:val="28"/>
          <w:lang w:val="en-US" w:eastAsia="zh-CN"/>
        </w:rPr>
        <w:t>2.</w:t>
      </w:r>
      <w:r>
        <w:rPr>
          <w:rFonts w:hint="eastAsia" w:ascii="黑体" w:hAnsi="黑体" w:eastAsia="黑体" w:cs="黑体"/>
          <w:b/>
          <w:color w:val="000000"/>
          <w:sz w:val="28"/>
          <w:szCs w:val="28"/>
        </w:rPr>
        <w:t>《采购代理项目保密协议》</w:t>
      </w:r>
    </w:p>
    <w:p w14:paraId="3AD7EF41">
      <w:pPr>
        <w:pStyle w:val="6"/>
        <w:rPr>
          <w:rFonts w:hint="default"/>
          <w:color w:val="000000"/>
          <w:lang w:val="en-US" w:eastAsia="zh-CN"/>
        </w:rPr>
      </w:pPr>
    </w:p>
    <w:p w14:paraId="17EC8D3D">
      <w:pPr>
        <w:adjustRightInd w:val="0"/>
        <w:snapToGrid w:val="0"/>
        <w:spacing w:line="360" w:lineRule="auto"/>
        <w:rPr>
          <w:rFonts w:hint="eastAsia" w:ascii="宋体" w:hAnsi="宋体"/>
          <w:color w:val="000000"/>
          <w:sz w:val="28"/>
          <w:szCs w:val="28"/>
        </w:rPr>
      </w:pPr>
      <w:r>
        <w:rPr>
          <w:rFonts w:hint="eastAsia" w:ascii="宋体" w:hAnsi="宋体"/>
          <w:b/>
          <w:bCs/>
          <w:color w:val="000000"/>
          <w:sz w:val="28"/>
          <w:szCs w:val="28"/>
        </w:rPr>
        <w:t xml:space="preserve">   </w:t>
      </w:r>
    </w:p>
    <w:p w14:paraId="04471022">
      <w:pPr>
        <w:spacing w:line="540" w:lineRule="exact"/>
        <w:ind w:right="-546" w:rightChars="-260"/>
        <w:rPr>
          <w:rFonts w:hint="eastAsia" w:ascii="宋体" w:hAnsi="宋体"/>
          <w:color w:val="000000"/>
          <w:sz w:val="28"/>
          <w:szCs w:val="28"/>
        </w:rPr>
      </w:pPr>
    </w:p>
    <w:p w14:paraId="271518F7">
      <w:pPr>
        <w:spacing w:line="540" w:lineRule="exact"/>
        <w:ind w:right="-546" w:rightChars="-260"/>
        <w:rPr>
          <w:rFonts w:hint="eastAsia" w:ascii="宋体" w:hAnsi="宋体"/>
          <w:color w:val="000000"/>
          <w:sz w:val="28"/>
          <w:szCs w:val="28"/>
        </w:rPr>
      </w:pPr>
    </w:p>
    <w:p w14:paraId="38DDE19B">
      <w:pPr>
        <w:spacing w:line="540" w:lineRule="exact"/>
        <w:ind w:right="-546" w:rightChars="-260"/>
        <w:rPr>
          <w:rFonts w:ascii="宋体" w:hAnsi="宋体"/>
          <w:color w:val="000000"/>
          <w:sz w:val="28"/>
          <w:szCs w:val="28"/>
        </w:rPr>
      </w:pPr>
      <w:r>
        <w:rPr>
          <w:rFonts w:hint="eastAsia" w:ascii="宋体" w:hAnsi="宋体"/>
          <w:color w:val="000000"/>
          <w:sz w:val="28"/>
          <w:szCs w:val="28"/>
        </w:rPr>
        <w:t>甲方（签章）：</w:t>
      </w:r>
      <w:r>
        <w:rPr>
          <w:rFonts w:hint="eastAsia" w:ascii="宋体" w:hAnsi="宋体"/>
          <w:color w:val="000000"/>
          <w:sz w:val="28"/>
          <w:szCs w:val="28"/>
          <w:lang w:eastAsia="zh-CN"/>
        </w:rPr>
        <w:t>暨南大学深圳旅游学院</w:t>
      </w:r>
      <w:r>
        <w:rPr>
          <w:rFonts w:hint="eastAsia" w:ascii="宋体" w:hAnsi="宋体"/>
          <w:color w:val="000000"/>
          <w:sz w:val="28"/>
          <w:szCs w:val="28"/>
        </w:rPr>
        <w:t xml:space="preserve"> </w:t>
      </w:r>
      <w:r>
        <w:rPr>
          <w:rFonts w:ascii="宋体" w:hAnsi="宋体"/>
          <w:color w:val="000000"/>
          <w:sz w:val="28"/>
          <w:szCs w:val="28"/>
        </w:rPr>
        <w:t xml:space="preserve"> </w:t>
      </w:r>
    </w:p>
    <w:p w14:paraId="622B3AB2">
      <w:pPr>
        <w:spacing w:line="540" w:lineRule="exact"/>
        <w:rPr>
          <w:rFonts w:hint="eastAsia" w:ascii="宋体" w:hAnsi="宋体"/>
          <w:color w:val="000000"/>
          <w:sz w:val="28"/>
          <w:szCs w:val="28"/>
        </w:rPr>
      </w:pPr>
      <w:r>
        <w:rPr>
          <w:rFonts w:hint="eastAsia" w:ascii="宋体" w:hAnsi="宋体"/>
          <w:color w:val="000000"/>
          <w:sz w:val="28"/>
          <w:szCs w:val="28"/>
          <w:lang w:val="en-US" w:eastAsia="zh-CN"/>
        </w:rPr>
        <w:t>单位负责人</w:t>
      </w:r>
      <w:r>
        <w:rPr>
          <w:rFonts w:hint="eastAsia" w:ascii="宋体" w:hAnsi="宋体"/>
          <w:color w:val="000000"/>
          <w:sz w:val="28"/>
          <w:szCs w:val="28"/>
        </w:rPr>
        <w:t xml:space="preserve">（签字）：    </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 xml:space="preserve"> </w:t>
      </w:r>
    </w:p>
    <w:p w14:paraId="68BAB9BD">
      <w:pPr>
        <w:spacing w:line="540" w:lineRule="exact"/>
        <w:rPr>
          <w:rFonts w:ascii="宋体" w:hAnsi="宋体"/>
          <w:color w:val="000000"/>
          <w:sz w:val="28"/>
          <w:szCs w:val="28"/>
        </w:rPr>
      </w:pPr>
      <w:r>
        <w:rPr>
          <w:rFonts w:hint="eastAsia" w:ascii="宋体" w:hAnsi="宋体"/>
          <w:color w:val="000000"/>
          <w:sz w:val="28"/>
          <w:szCs w:val="28"/>
        </w:rPr>
        <w:t xml:space="preserve">签订日期：     年    月 </w:t>
      </w:r>
      <w:r>
        <w:rPr>
          <w:rFonts w:ascii="宋体" w:hAnsi="宋体"/>
          <w:color w:val="000000"/>
          <w:sz w:val="28"/>
          <w:szCs w:val="28"/>
        </w:rPr>
        <w:t xml:space="preserve">   </w:t>
      </w: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 xml:space="preserve"> </w:t>
      </w:r>
    </w:p>
    <w:p w14:paraId="16D20314">
      <w:pPr>
        <w:pStyle w:val="12"/>
        <w:tabs>
          <w:tab w:val="left" w:pos="4680"/>
        </w:tabs>
        <w:adjustRightInd w:val="0"/>
        <w:snapToGrid w:val="0"/>
        <w:spacing w:line="540" w:lineRule="exact"/>
        <w:ind w:firstLine="0" w:firstLineChars="0"/>
        <w:rPr>
          <w:rFonts w:hint="eastAsia" w:ascii="宋体" w:hAnsi="宋体"/>
          <w:color w:val="000000"/>
          <w:sz w:val="28"/>
          <w:szCs w:val="28"/>
        </w:rPr>
      </w:pPr>
    </w:p>
    <w:p w14:paraId="07704639">
      <w:pPr>
        <w:pStyle w:val="12"/>
        <w:tabs>
          <w:tab w:val="left" w:pos="4680"/>
        </w:tabs>
        <w:adjustRightInd w:val="0"/>
        <w:snapToGrid w:val="0"/>
        <w:spacing w:line="540" w:lineRule="exact"/>
        <w:ind w:firstLine="0" w:firstLineChars="0"/>
        <w:rPr>
          <w:rFonts w:hint="eastAsia" w:ascii="宋体" w:hAnsi="宋体"/>
          <w:color w:val="000000"/>
          <w:sz w:val="28"/>
          <w:szCs w:val="28"/>
        </w:rPr>
      </w:pPr>
    </w:p>
    <w:p w14:paraId="2C6CE1E5">
      <w:pPr>
        <w:pStyle w:val="12"/>
        <w:tabs>
          <w:tab w:val="left" w:pos="4680"/>
        </w:tabs>
        <w:adjustRightInd w:val="0"/>
        <w:snapToGrid w:val="0"/>
        <w:spacing w:line="540" w:lineRule="exact"/>
        <w:ind w:firstLine="0" w:firstLineChars="0"/>
        <w:rPr>
          <w:rFonts w:hint="eastAsia" w:ascii="宋体" w:hAnsi="宋体"/>
          <w:color w:val="000000"/>
          <w:sz w:val="28"/>
          <w:szCs w:val="28"/>
        </w:rPr>
      </w:pPr>
    </w:p>
    <w:p w14:paraId="77D917F5">
      <w:pPr>
        <w:pStyle w:val="12"/>
        <w:tabs>
          <w:tab w:val="left" w:pos="4680"/>
        </w:tabs>
        <w:adjustRightInd w:val="0"/>
        <w:snapToGrid w:val="0"/>
        <w:spacing w:line="540" w:lineRule="exact"/>
        <w:ind w:firstLine="0" w:firstLineChars="0"/>
        <w:rPr>
          <w:rFonts w:ascii="宋体" w:hAnsi="宋体"/>
          <w:color w:val="000000"/>
          <w:sz w:val="28"/>
          <w:szCs w:val="28"/>
        </w:rPr>
      </w:pPr>
      <w:r>
        <w:rPr>
          <w:rFonts w:hint="eastAsia" w:ascii="宋体" w:hAnsi="宋体"/>
          <w:color w:val="000000"/>
          <w:sz w:val="28"/>
          <w:szCs w:val="28"/>
        </w:rPr>
        <w:t>乙方（签章）：</w:t>
      </w:r>
      <w:r>
        <w:rPr>
          <w:rFonts w:hint="eastAsia" w:eastAsia="黑体"/>
          <w:bCs/>
          <w:color w:val="FF0000"/>
          <w:sz w:val="30"/>
          <w:szCs w:val="30"/>
          <w:lang w:val="en-US" w:eastAsia="zh-CN"/>
        </w:rPr>
        <w:t>XX</w:t>
      </w:r>
      <w:r>
        <w:rPr>
          <w:rFonts w:hint="eastAsia" w:eastAsia="黑体"/>
          <w:bCs/>
          <w:color w:val="FF0000"/>
          <w:sz w:val="30"/>
          <w:szCs w:val="30"/>
        </w:rPr>
        <w:t>公司</w:t>
      </w:r>
    </w:p>
    <w:p w14:paraId="4C39313E">
      <w:pPr>
        <w:pStyle w:val="12"/>
        <w:tabs>
          <w:tab w:val="left" w:pos="4680"/>
        </w:tabs>
        <w:adjustRightInd w:val="0"/>
        <w:snapToGrid w:val="0"/>
        <w:spacing w:line="540" w:lineRule="exact"/>
        <w:ind w:firstLine="0" w:firstLineChars="0"/>
        <w:rPr>
          <w:rFonts w:hint="eastAsia" w:ascii="宋体" w:hAnsi="宋体"/>
          <w:color w:val="000000"/>
          <w:sz w:val="28"/>
          <w:szCs w:val="28"/>
        </w:rPr>
      </w:pPr>
      <w:r>
        <w:rPr>
          <w:rFonts w:hint="eastAsia" w:ascii="宋体" w:hAnsi="宋体"/>
          <w:color w:val="000000"/>
          <w:sz w:val="28"/>
          <w:szCs w:val="28"/>
          <w:lang w:val="en-US" w:eastAsia="zh-CN"/>
        </w:rPr>
        <w:t>授权代表</w:t>
      </w:r>
      <w:r>
        <w:rPr>
          <w:rFonts w:hint="eastAsia" w:ascii="宋体" w:hAnsi="宋体"/>
          <w:color w:val="000000"/>
          <w:sz w:val="28"/>
          <w:szCs w:val="28"/>
        </w:rPr>
        <w:t>（签字）：</w:t>
      </w:r>
    </w:p>
    <w:p w14:paraId="539B6153">
      <w:pPr>
        <w:pStyle w:val="12"/>
        <w:tabs>
          <w:tab w:val="left" w:pos="4680"/>
        </w:tabs>
        <w:adjustRightInd w:val="0"/>
        <w:snapToGrid w:val="0"/>
        <w:spacing w:line="540" w:lineRule="exact"/>
        <w:ind w:firstLine="0" w:firstLineChars="0"/>
        <w:rPr>
          <w:rFonts w:hint="eastAsia" w:ascii="宋体" w:hAnsi="宋体"/>
          <w:color w:val="000000"/>
          <w:sz w:val="28"/>
          <w:szCs w:val="28"/>
        </w:rPr>
      </w:pPr>
      <w:r>
        <w:rPr>
          <w:rFonts w:hint="eastAsia" w:ascii="宋体" w:hAnsi="宋体"/>
          <w:color w:val="000000"/>
          <w:sz w:val="28"/>
          <w:szCs w:val="28"/>
        </w:rPr>
        <w:t>签订日期：     年    月    日</w:t>
      </w:r>
    </w:p>
    <w:p w14:paraId="42E297D5">
      <w:pPr>
        <w:tabs>
          <w:tab w:val="left" w:pos="5040"/>
        </w:tabs>
        <w:spacing w:line="360" w:lineRule="auto"/>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委托单</w:t>
      </w:r>
    </w:p>
    <w:p w14:paraId="483AD0CC">
      <w:pPr>
        <w:tabs>
          <w:tab w:val="left" w:pos="3240"/>
        </w:tabs>
        <w:adjustRightInd w:val="0"/>
        <w:snapToGrid w:val="0"/>
        <w:spacing w:line="360" w:lineRule="auto"/>
        <w:rPr>
          <w:rFonts w:hint="eastAsia" w:ascii="宋体" w:hAnsi="宋体"/>
          <w:b/>
          <w:bCs/>
          <w:color w:val="000000"/>
          <w:sz w:val="28"/>
          <w:szCs w:val="28"/>
          <w:lang w:eastAsia="zh-CN"/>
        </w:rPr>
      </w:pPr>
    </w:p>
    <w:p w14:paraId="103184F9">
      <w:pPr>
        <w:tabs>
          <w:tab w:val="left" w:pos="3240"/>
        </w:tabs>
        <w:adjustRightInd w:val="0"/>
        <w:snapToGrid w:val="0"/>
        <w:spacing w:line="360" w:lineRule="auto"/>
        <w:rPr>
          <w:rFonts w:hint="eastAsia" w:ascii="宋体" w:hAnsi="宋体"/>
          <w:b/>
          <w:bCs/>
          <w:color w:val="000000"/>
          <w:sz w:val="28"/>
          <w:szCs w:val="28"/>
          <w:lang w:eastAsia="zh-CN"/>
        </w:rPr>
      </w:pPr>
    </w:p>
    <w:p w14:paraId="0CF1D39F">
      <w:pPr>
        <w:tabs>
          <w:tab w:val="left" w:pos="3240"/>
        </w:tabs>
        <w:adjustRightInd w:val="0"/>
        <w:snapToGrid w:val="0"/>
        <w:spacing w:line="360" w:lineRule="auto"/>
        <w:rPr>
          <w:rFonts w:hint="eastAsia" w:ascii="宋体" w:hAnsi="宋体"/>
          <w:b/>
          <w:bCs/>
          <w:color w:val="000000"/>
          <w:sz w:val="28"/>
          <w:szCs w:val="28"/>
          <w:lang w:eastAsia="zh-CN"/>
        </w:rPr>
      </w:pPr>
      <w:r>
        <w:rPr>
          <w:rFonts w:hint="eastAsia" w:eastAsia="黑体"/>
          <w:bCs/>
          <w:color w:val="FF0000"/>
          <w:sz w:val="30"/>
          <w:szCs w:val="30"/>
          <w:lang w:val="en-US" w:eastAsia="zh-CN"/>
        </w:rPr>
        <w:t>XX</w:t>
      </w:r>
      <w:r>
        <w:rPr>
          <w:rFonts w:hint="eastAsia" w:eastAsia="黑体"/>
          <w:bCs/>
          <w:color w:val="FF0000"/>
          <w:sz w:val="30"/>
          <w:szCs w:val="30"/>
        </w:rPr>
        <w:t>公司</w:t>
      </w:r>
      <w:r>
        <w:rPr>
          <w:rFonts w:hint="eastAsia" w:ascii="宋体" w:hAnsi="宋体"/>
          <w:b/>
          <w:bCs/>
          <w:color w:val="000000"/>
          <w:sz w:val="28"/>
          <w:szCs w:val="28"/>
          <w:lang w:eastAsia="zh-CN"/>
        </w:rPr>
        <w:t>：</w:t>
      </w:r>
    </w:p>
    <w:p w14:paraId="3786EAE9">
      <w:pPr>
        <w:pStyle w:val="6"/>
        <w:rPr>
          <w:rFonts w:hint="eastAsia" w:ascii="黑体" w:hAnsi="黑体" w:eastAsia="黑体" w:cs="黑体"/>
          <w:b/>
          <w:color w:val="000000"/>
          <w:sz w:val="28"/>
          <w:szCs w:val="28"/>
        </w:rPr>
      </w:pPr>
      <w:r>
        <w:rPr>
          <w:rFonts w:hint="eastAsia" w:ascii="宋体" w:hAnsi="宋体"/>
          <w:b/>
          <w:bCs/>
          <w:color w:val="000000"/>
          <w:sz w:val="28"/>
          <w:szCs w:val="28"/>
          <w:lang w:val="en-US" w:eastAsia="zh-CN"/>
        </w:rPr>
        <w:t xml:space="preserve">    </w:t>
      </w:r>
      <w:r>
        <w:rPr>
          <w:rFonts w:hint="eastAsia" w:ascii="宋体" w:hAnsi="宋体" w:eastAsia="宋体" w:cs="Times New Roman"/>
          <w:color w:val="000000"/>
          <w:kern w:val="2"/>
          <w:sz w:val="28"/>
          <w:szCs w:val="28"/>
          <w:lang w:val="en-US" w:eastAsia="zh-CN" w:bidi="ar-SA"/>
        </w:rPr>
        <w:t>根据《招标代理委托协议》，现委托贵单位完成以下项目的招标：</w:t>
      </w:r>
    </w:p>
    <w:tbl>
      <w:tblPr>
        <w:tblStyle w:val="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459"/>
      </w:tblGrid>
      <w:tr w14:paraId="6D0D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44" w:type="dxa"/>
            <w:noWrap w:val="0"/>
            <w:vAlign w:val="center"/>
          </w:tcPr>
          <w:p w14:paraId="4794C30F">
            <w:pPr>
              <w:spacing w:line="348" w:lineRule="auto"/>
              <w:jc w:val="both"/>
              <w:rPr>
                <w:rFonts w:ascii="仿宋" w:hAnsi="仿宋" w:eastAsia="仿宋" w:cs="仿宋"/>
                <w:b/>
                <w:color w:val="000000"/>
                <w:sz w:val="24"/>
                <w:szCs w:val="24"/>
              </w:rPr>
            </w:pPr>
            <w:r>
              <w:rPr>
                <w:rFonts w:hint="eastAsia" w:ascii="仿宋" w:hAnsi="仿宋" w:eastAsia="仿宋" w:cs="仿宋"/>
                <w:color w:val="000000"/>
                <w:sz w:val="24"/>
                <w:szCs w:val="24"/>
              </w:rPr>
              <w:t>项目编号</w:t>
            </w:r>
          </w:p>
        </w:tc>
        <w:tc>
          <w:tcPr>
            <w:tcW w:w="7459" w:type="dxa"/>
            <w:noWrap w:val="0"/>
            <w:vAlign w:val="center"/>
          </w:tcPr>
          <w:p w14:paraId="293C6A44">
            <w:pPr>
              <w:spacing w:line="348" w:lineRule="auto"/>
              <w:jc w:val="center"/>
              <w:rPr>
                <w:rFonts w:ascii="仿宋" w:hAnsi="仿宋" w:eastAsia="仿宋" w:cs="仿宋"/>
                <w:color w:val="000000"/>
                <w:sz w:val="24"/>
                <w:szCs w:val="24"/>
              </w:rPr>
            </w:pPr>
          </w:p>
        </w:tc>
      </w:tr>
      <w:tr w14:paraId="256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noWrap w:val="0"/>
            <w:vAlign w:val="center"/>
          </w:tcPr>
          <w:p w14:paraId="6086293C">
            <w:pPr>
              <w:spacing w:line="348" w:lineRule="auto"/>
              <w:jc w:val="center"/>
              <w:rPr>
                <w:rFonts w:ascii="仿宋" w:hAnsi="仿宋" w:eastAsia="仿宋" w:cs="仿宋"/>
                <w:b/>
                <w:color w:val="000000"/>
                <w:sz w:val="24"/>
                <w:szCs w:val="24"/>
              </w:rPr>
            </w:pPr>
            <w:r>
              <w:rPr>
                <w:rFonts w:hint="eastAsia" w:ascii="仿宋" w:hAnsi="仿宋" w:eastAsia="仿宋" w:cs="仿宋"/>
                <w:color w:val="000000"/>
                <w:sz w:val="24"/>
                <w:szCs w:val="24"/>
              </w:rPr>
              <w:t>项目名称</w:t>
            </w:r>
          </w:p>
        </w:tc>
        <w:tc>
          <w:tcPr>
            <w:tcW w:w="7459" w:type="dxa"/>
            <w:noWrap w:val="0"/>
            <w:vAlign w:val="center"/>
          </w:tcPr>
          <w:p w14:paraId="6D3D426D">
            <w:pPr>
              <w:spacing w:line="348" w:lineRule="auto"/>
              <w:jc w:val="center"/>
              <w:rPr>
                <w:rFonts w:ascii="仿宋" w:hAnsi="仿宋" w:eastAsia="仿宋" w:cs="仿宋"/>
                <w:color w:val="000000"/>
                <w:sz w:val="24"/>
                <w:szCs w:val="24"/>
              </w:rPr>
            </w:pPr>
            <w:r>
              <w:rPr>
                <w:rFonts w:hint="eastAsia" w:ascii="仿宋" w:hAnsi="仿宋" w:eastAsia="仿宋" w:cs="仿宋"/>
                <w:color w:val="000000"/>
                <w:sz w:val="24"/>
                <w:szCs w:val="24"/>
              </w:rPr>
              <w:t>【项目名称】</w:t>
            </w:r>
          </w:p>
        </w:tc>
      </w:tr>
      <w:tr w14:paraId="65D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44" w:type="dxa"/>
            <w:noWrap w:val="0"/>
            <w:vAlign w:val="center"/>
          </w:tcPr>
          <w:p w14:paraId="342194F6">
            <w:pPr>
              <w:spacing w:line="348" w:lineRule="auto"/>
              <w:jc w:val="center"/>
              <w:rPr>
                <w:rFonts w:ascii="仿宋" w:hAnsi="仿宋" w:eastAsia="仿宋" w:cs="仿宋"/>
                <w:color w:val="000000"/>
                <w:sz w:val="24"/>
                <w:szCs w:val="24"/>
              </w:rPr>
            </w:pPr>
            <w:r>
              <w:rPr>
                <w:rFonts w:hint="eastAsia" w:ascii="仿宋" w:hAnsi="仿宋" w:eastAsia="仿宋" w:cs="仿宋"/>
                <w:color w:val="000000"/>
                <w:sz w:val="24"/>
                <w:szCs w:val="24"/>
              </w:rPr>
              <w:t>采购需求</w:t>
            </w:r>
          </w:p>
        </w:tc>
        <w:tc>
          <w:tcPr>
            <w:tcW w:w="7459" w:type="dxa"/>
            <w:noWrap w:val="0"/>
            <w:vAlign w:val="center"/>
          </w:tcPr>
          <w:p w14:paraId="584EA7EB">
            <w:pPr>
              <w:spacing w:line="348" w:lineRule="auto"/>
              <w:jc w:val="center"/>
              <w:rPr>
                <w:rFonts w:ascii="仿宋" w:hAnsi="仿宋" w:eastAsia="仿宋" w:cs="仿宋"/>
                <w:b/>
                <w:color w:val="000000"/>
                <w:sz w:val="24"/>
                <w:szCs w:val="24"/>
              </w:rPr>
            </w:pPr>
            <w:r>
              <w:rPr>
                <w:rFonts w:hint="eastAsia" w:ascii="仿宋" w:hAnsi="仿宋" w:eastAsia="仿宋" w:cs="仿宋"/>
                <w:color w:val="000000"/>
                <w:sz w:val="24"/>
                <w:szCs w:val="24"/>
              </w:rPr>
              <w:t>详见《采购需求》</w:t>
            </w:r>
          </w:p>
        </w:tc>
      </w:tr>
      <w:tr w14:paraId="7170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44" w:type="dxa"/>
            <w:noWrap w:val="0"/>
            <w:vAlign w:val="center"/>
          </w:tcPr>
          <w:p w14:paraId="5A28540E">
            <w:pPr>
              <w:spacing w:line="348" w:lineRule="auto"/>
              <w:jc w:val="center"/>
              <w:rPr>
                <w:rFonts w:ascii="仿宋" w:hAnsi="仿宋" w:eastAsia="仿宋" w:cs="仿宋"/>
                <w:color w:val="000000"/>
                <w:sz w:val="24"/>
                <w:szCs w:val="24"/>
              </w:rPr>
            </w:pPr>
            <w:r>
              <w:rPr>
                <w:rFonts w:hint="eastAsia" w:ascii="仿宋" w:hAnsi="仿宋" w:eastAsia="仿宋" w:cs="仿宋"/>
                <w:color w:val="000000"/>
                <w:sz w:val="24"/>
                <w:szCs w:val="24"/>
              </w:rPr>
              <w:t>资金来源</w:t>
            </w:r>
          </w:p>
        </w:tc>
        <w:tc>
          <w:tcPr>
            <w:tcW w:w="7459" w:type="dxa"/>
            <w:noWrap w:val="0"/>
            <w:vAlign w:val="center"/>
          </w:tcPr>
          <w:p w14:paraId="39567807">
            <w:pPr>
              <w:spacing w:line="348" w:lineRule="auto"/>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财政性资金：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部级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省级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市/区级</w:t>
            </w:r>
          </w:p>
        </w:tc>
      </w:tr>
      <w:tr w14:paraId="41AC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4" w:type="dxa"/>
            <w:noWrap w:val="0"/>
            <w:vAlign w:val="center"/>
          </w:tcPr>
          <w:p w14:paraId="1B63B290">
            <w:pPr>
              <w:tabs>
                <w:tab w:val="left" w:pos="1260"/>
                <w:tab w:val="left" w:pos="1660"/>
              </w:tabs>
              <w:spacing w:line="348" w:lineRule="auto"/>
              <w:jc w:val="center"/>
              <w:rPr>
                <w:rFonts w:ascii="仿宋" w:hAnsi="仿宋" w:eastAsia="仿宋" w:cs="仿宋"/>
                <w:b/>
                <w:color w:val="000000"/>
                <w:sz w:val="24"/>
                <w:szCs w:val="24"/>
              </w:rPr>
            </w:pPr>
            <w:r>
              <w:rPr>
                <w:rFonts w:hint="eastAsia" w:ascii="仿宋" w:hAnsi="仿宋" w:eastAsia="仿宋" w:cs="仿宋"/>
                <w:color w:val="000000"/>
                <w:sz w:val="24"/>
                <w:szCs w:val="24"/>
              </w:rPr>
              <w:t>预算金额</w:t>
            </w:r>
          </w:p>
        </w:tc>
        <w:tc>
          <w:tcPr>
            <w:tcW w:w="7459" w:type="dxa"/>
            <w:noWrap w:val="0"/>
            <w:vAlign w:val="center"/>
          </w:tcPr>
          <w:p w14:paraId="4E94DA9C">
            <w:pPr>
              <w:spacing w:line="348" w:lineRule="auto"/>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万元（人民币）</w:t>
            </w:r>
          </w:p>
        </w:tc>
      </w:tr>
      <w:tr w14:paraId="2E1A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44" w:type="dxa"/>
            <w:noWrap w:val="0"/>
            <w:vAlign w:val="center"/>
          </w:tcPr>
          <w:p w14:paraId="03573CC4">
            <w:pPr>
              <w:tabs>
                <w:tab w:val="left" w:pos="1260"/>
                <w:tab w:val="left" w:pos="1660"/>
              </w:tabs>
              <w:spacing w:line="348" w:lineRule="auto"/>
              <w:jc w:val="center"/>
              <w:rPr>
                <w:rFonts w:ascii="仿宋" w:hAnsi="仿宋" w:eastAsia="仿宋" w:cs="仿宋"/>
                <w:color w:val="000000"/>
                <w:sz w:val="24"/>
                <w:szCs w:val="24"/>
              </w:rPr>
            </w:pPr>
            <w:r>
              <w:rPr>
                <w:rFonts w:hint="eastAsia" w:ascii="仿宋" w:hAnsi="仿宋" w:eastAsia="仿宋" w:cs="仿宋"/>
                <w:color w:val="000000"/>
                <w:spacing w:val="-2"/>
                <w:sz w:val="24"/>
                <w:szCs w:val="24"/>
              </w:rPr>
              <w:t>采购</w:t>
            </w:r>
            <w:r>
              <w:rPr>
                <w:rFonts w:hint="eastAsia" w:ascii="仿宋" w:hAnsi="仿宋" w:eastAsia="仿宋" w:cs="仿宋"/>
                <w:color w:val="000000"/>
                <w:sz w:val="24"/>
                <w:szCs w:val="24"/>
              </w:rPr>
              <w:t>类别</w:t>
            </w:r>
          </w:p>
        </w:tc>
        <w:tc>
          <w:tcPr>
            <w:tcW w:w="7459" w:type="dxa"/>
            <w:noWrap w:val="0"/>
            <w:vAlign w:val="center"/>
          </w:tcPr>
          <w:p w14:paraId="20D8D875">
            <w:pPr>
              <w:spacing w:line="348" w:lineRule="auto"/>
              <w:jc w:val="center"/>
              <w:rPr>
                <w:rFonts w:ascii="仿宋" w:hAnsi="仿宋" w:eastAsia="仿宋" w:cs="仿宋"/>
                <w:color w:val="000000"/>
                <w:kern w:val="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货物类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服务类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工程类</w:t>
            </w:r>
          </w:p>
        </w:tc>
      </w:tr>
      <w:tr w14:paraId="4FA0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44" w:type="dxa"/>
            <w:noWrap w:val="0"/>
            <w:vAlign w:val="center"/>
          </w:tcPr>
          <w:p w14:paraId="0090FC85">
            <w:pPr>
              <w:spacing w:line="348" w:lineRule="auto"/>
              <w:jc w:val="center"/>
              <w:rPr>
                <w:rFonts w:ascii="仿宋" w:hAnsi="仿宋" w:eastAsia="仿宋" w:cs="仿宋"/>
                <w:b/>
                <w:color w:val="000000"/>
                <w:sz w:val="24"/>
                <w:szCs w:val="24"/>
              </w:rPr>
            </w:pPr>
            <w:r>
              <w:rPr>
                <w:rFonts w:hint="eastAsia" w:ascii="仿宋" w:hAnsi="仿宋" w:eastAsia="仿宋" w:cs="仿宋"/>
                <w:color w:val="000000"/>
                <w:spacing w:val="-2"/>
                <w:sz w:val="24"/>
                <w:szCs w:val="24"/>
              </w:rPr>
              <w:t>采购</w:t>
            </w:r>
            <w:r>
              <w:rPr>
                <w:rFonts w:hint="eastAsia" w:ascii="仿宋" w:hAnsi="仿宋" w:eastAsia="仿宋" w:cs="仿宋"/>
                <w:color w:val="000000"/>
                <w:sz w:val="24"/>
                <w:szCs w:val="24"/>
              </w:rPr>
              <w:t>方式</w:t>
            </w:r>
          </w:p>
        </w:tc>
        <w:tc>
          <w:tcPr>
            <w:tcW w:w="7459" w:type="dxa"/>
            <w:noWrap w:val="0"/>
            <w:vAlign w:val="center"/>
          </w:tcPr>
          <w:p w14:paraId="3713BA13">
            <w:pPr>
              <w:spacing w:line="348"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公开招标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邀请招标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竞争性谈判</w:t>
            </w:r>
          </w:p>
          <w:p w14:paraId="5C1C4FDA">
            <w:pPr>
              <w:spacing w:line="348"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竞争性磋商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询价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单一来源</w:t>
            </w:r>
          </w:p>
        </w:tc>
      </w:tr>
    </w:tbl>
    <w:p w14:paraId="38163CA5">
      <w:pPr>
        <w:pStyle w:val="12"/>
        <w:spacing w:line="360" w:lineRule="auto"/>
        <w:ind w:left="480" w:firstLine="0" w:firstLineChars="0"/>
        <w:rPr>
          <w:b/>
          <w:color w:val="000000"/>
          <w:sz w:val="24"/>
        </w:rPr>
      </w:pPr>
    </w:p>
    <w:p w14:paraId="58AC1987">
      <w:pPr>
        <w:adjustRightInd w:val="0"/>
        <w:snapToGrid w:val="0"/>
        <w:spacing w:line="360" w:lineRule="auto"/>
        <w:rPr>
          <w:rFonts w:hint="eastAsia" w:ascii="宋体" w:hAnsi="宋体"/>
          <w:b w:val="0"/>
          <w:bCs/>
          <w:color w:val="000000"/>
          <w:sz w:val="28"/>
          <w:szCs w:val="28"/>
        </w:rPr>
      </w:pPr>
      <w:r>
        <w:rPr>
          <w:rFonts w:hint="eastAsia" w:ascii="宋体" w:hAnsi="宋体"/>
          <w:b w:val="0"/>
          <w:bCs/>
          <w:color w:val="000000"/>
          <w:sz w:val="28"/>
          <w:szCs w:val="28"/>
        </w:rPr>
        <w:t>项目的实施应遵守</w:t>
      </w:r>
      <w:r>
        <w:rPr>
          <w:rFonts w:hint="eastAsia" w:ascii="宋体" w:hAnsi="宋体" w:eastAsia="宋体" w:cs="Times New Roman"/>
          <w:color w:val="000000"/>
          <w:kern w:val="2"/>
          <w:sz w:val="28"/>
          <w:szCs w:val="28"/>
          <w:lang w:val="en-US" w:eastAsia="zh-CN" w:bidi="ar-SA"/>
        </w:rPr>
        <w:t>《招标代理委托协议》</w:t>
      </w:r>
      <w:r>
        <w:rPr>
          <w:rFonts w:hint="eastAsia" w:ascii="宋体" w:hAnsi="宋体"/>
          <w:b w:val="0"/>
          <w:bCs/>
          <w:color w:val="000000"/>
          <w:sz w:val="28"/>
          <w:szCs w:val="28"/>
        </w:rPr>
        <w:t>约定。</w:t>
      </w:r>
    </w:p>
    <w:p w14:paraId="3D638481">
      <w:pPr>
        <w:pStyle w:val="6"/>
        <w:rPr>
          <w:rFonts w:hint="eastAsia" w:ascii="宋体" w:hAnsi="宋体"/>
          <w:b w:val="0"/>
          <w:bCs/>
          <w:color w:val="000000"/>
          <w:sz w:val="28"/>
          <w:szCs w:val="28"/>
        </w:rPr>
      </w:pPr>
    </w:p>
    <w:p w14:paraId="58606A5A">
      <w:pPr>
        <w:rPr>
          <w:rFonts w:hint="eastAsia" w:ascii="宋体" w:hAnsi="宋体"/>
          <w:b w:val="0"/>
          <w:bCs/>
          <w:color w:val="000000"/>
          <w:sz w:val="28"/>
          <w:szCs w:val="28"/>
        </w:rPr>
      </w:pPr>
    </w:p>
    <w:p w14:paraId="0E1B5079">
      <w:pPr>
        <w:pStyle w:val="6"/>
        <w:rPr>
          <w:color w:val="000000"/>
        </w:rPr>
      </w:pPr>
    </w:p>
    <w:p w14:paraId="1DFA1D9E">
      <w:pPr>
        <w:rPr>
          <w:color w:val="000000"/>
        </w:rPr>
      </w:pPr>
    </w:p>
    <w:p w14:paraId="1AB151DE">
      <w:pPr>
        <w:spacing w:line="540" w:lineRule="exact"/>
        <w:ind w:right="-546" w:rightChars="-260" w:firstLine="5040" w:firstLineChars="1800"/>
        <w:rPr>
          <w:rFonts w:ascii="宋体" w:hAnsi="宋体"/>
          <w:color w:val="000000"/>
          <w:sz w:val="28"/>
          <w:szCs w:val="28"/>
        </w:rPr>
      </w:pPr>
      <w:r>
        <w:rPr>
          <w:rFonts w:hint="eastAsia" w:ascii="宋体" w:hAnsi="宋体"/>
          <w:color w:val="000000"/>
          <w:sz w:val="28"/>
          <w:szCs w:val="28"/>
          <w:lang w:eastAsia="zh-CN"/>
        </w:rPr>
        <w:t>暨南大学深圳旅游学院</w:t>
      </w:r>
      <w:r>
        <w:rPr>
          <w:rFonts w:hint="eastAsia" w:ascii="宋体" w:hAnsi="宋体"/>
          <w:color w:val="000000"/>
          <w:sz w:val="28"/>
          <w:szCs w:val="28"/>
        </w:rPr>
        <w:t xml:space="preserve"> </w:t>
      </w:r>
      <w:r>
        <w:rPr>
          <w:rFonts w:ascii="宋体" w:hAnsi="宋体"/>
          <w:color w:val="000000"/>
          <w:sz w:val="28"/>
          <w:szCs w:val="28"/>
        </w:rPr>
        <w:t xml:space="preserve"> </w:t>
      </w:r>
    </w:p>
    <w:p w14:paraId="20C7C4E6">
      <w:pPr>
        <w:spacing w:line="54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 xml:space="preserve"> </w:t>
      </w:r>
    </w:p>
    <w:p w14:paraId="664808E3">
      <w:pPr>
        <w:pStyle w:val="12"/>
        <w:tabs>
          <w:tab w:val="left" w:pos="4680"/>
        </w:tabs>
        <w:adjustRightInd w:val="0"/>
        <w:snapToGrid w:val="0"/>
        <w:spacing w:line="540" w:lineRule="exact"/>
        <w:ind w:firstLine="4760" w:firstLineChars="1700"/>
        <w:rPr>
          <w:rFonts w:hint="default" w:ascii="宋体" w:hAnsi="宋体"/>
          <w:color w:val="000000"/>
          <w:sz w:val="28"/>
          <w:szCs w:val="28"/>
          <w:lang w:val="en-US" w:eastAsia="zh-CN"/>
        </w:rPr>
      </w:pPr>
      <w:r>
        <w:rPr>
          <w:rFonts w:hint="eastAsia" w:ascii="宋体" w:hAnsi="宋体"/>
          <w:color w:val="000000"/>
          <w:sz w:val="28"/>
          <w:szCs w:val="28"/>
        </w:rPr>
        <w:t xml:space="preserve">日期：     年    月 </w:t>
      </w:r>
      <w:r>
        <w:rPr>
          <w:rFonts w:ascii="宋体" w:hAnsi="宋体"/>
          <w:color w:val="000000"/>
          <w:sz w:val="28"/>
          <w:szCs w:val="28"/>
        </w:rPr>
        <w:t xml:space="preserve">   </w:t>
      </w:r>
      <w:r>
        <w:rPr>
          <w:rFonts w:hint="eastAsia" w:ascii="宋体" w:hAnsi="宋体"/>
          <w:color w:val="000000"/>
          <w:sz w:val="28"/>
          <w:szCs w:val="28"/>
        </w:rPr>
        <w:t>日</w:t>
      </w:r>
      <w:r>
        <w:rPr>
          <w:rFonts w:ascii="宋体" w:hAnsi="宋体"/>
          <w:color w:val="000000"/>
          <w:sz w:val="28"/>
          <w:szCs w:val="28"/>
        </w:rPr>
        <w:t xml:space="preserve">    </w:t>
      </w:r>
    </w:p>
    <w:p w14:paraId="781EC323">
      <w:pPr>
        <w:pStyle w:val="12"/>
        <w:tabs>
          <w:tab w:val="left" w:pos="4680"/>
        </w:tabs>
        <w:adjustRightInd w:val="0"/>
        <w:snapToGrid w:val="0"/>
        <w:spacing w:line="540" w:lineRule="exact"/>
        <w:ind w:firstLine="0" w:firstLineChars="0"/>
        <w:rPr>
          <w:rFonts w:hint="eastAsia" w:ascii="宋体" w:hAnsi="宋体"/>
          <w:color w:val="000000"/>
          <w:sz w:val="28"/>
          <w:szCs w:val="28"/>
        </w:rPr>
      </w:pPr>
    </w:p>
    <w:p w14:paraId="41AA2A38">
      <w:pPr>
        <w:tabs>
          <w:tab w:val="left" w:pos="5040"/>
        </w:tabs>
        <w:spacing w:line="360" w:lineRule="auto"/>
        <w:jc w:val="center"/>
        <w:rPr>
          <w:rFonts w:ascii="宋体" w:hAnsi="宋体" w:eastAsia="宋体" w:cs="宋体"/>
          <w:b/>
          <w:bCs/>
          <w:color w:val="000000"/>
          <w:sz w:val="44"/>
          <w:szCs w:val="44"/>
        </w:rPr>
      </w:pPr>
      <w:r>
        <w:rPr>
          <w:rFonts w:hint="eastAsia" w:ascii="宋体" w:hAnsi="宋体"/>
          <w:color w:val="000000"/>
          <w:sz w:val="28"/>
          <w:szCs w:val="28"/>
        </w:rPr>
        <w:br w:type="page"/>
      </w:r>
      <w:r>
        <w:rPr>
          <w:rFonts w:hint="eastAsia" w:ascii="宋体" w:hAnsi="宋体"/>
          <w:color w:val="000000"/>
          <w:sz w:val="28"/>
          <w:szCs w:val="28"/>
          <w:lang w:val="en-US" w:eastAsia="zh-CN"/>
        </w:rPr>
        <w:t xml:space="preserve"> </w:t>
      </w:r>
      <w:r>
        <w:rPr>
          <w:rFonts w:hint="eastAsia" w:ascii="宋体" w:hAnsi="宋体" w:eastAsia="宋体" w:cs="宋体"/>
          <w:b/>
          <w:bCs/>
          <w:color w:val="000000"/>
          <w:sz w:val="44"/>
          <w:szCs w:val="44"/>
        </w:rPr>
        <w:t>采购代理项目保密协议</w:t>
      </w:r>
    </w:p>
    <w:p w14:paraId="408507D3">
      <w:pPr>
        <w:rPr>
          <w:color w:val="000000"/>
        </w:rPr>
      </w:pPr>
    </w:p>
    <w:p w14:paraId="7A612736">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甲乙双方为顺利完成采购任务，保证采购活动合法合规，对采购活动中保密信息的安全和机密以及双方的合法权利，在公平、平等的原则基础上，经过协商，双方约定如下：</w:t>
      </w:r>
    </w:p>
    <w:p w14:paraId="5CBD4D9B">
      <w:pPr>
        <w:spacing w:line="360" w:lineRule="auto"/>
        <w:rPr>
          <w:color w:val="000000"/>
        </w:rPr>
      </w:pPr>
    </w:p>
    <w:p w14:paraId="608C50F9">
      <w:pPr>
        <w:spacing w:line="360" w:lineRule="auto"/>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rPr>
        <w:t>一、术语</w:t>
      </w:r>
    </w:p>
    <w:p w14:paraId="0F76592C">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本协议所指的“保密信息”，是指在本协议签订之前或之后，由甲乙双方互为披露或提供的，不论双方以口头、书面或电子形式为载体，也不论披露方是否在该信息上标明“保密”或其他类似标记的所有数据、信息和资料，保密信息包括但不限于：</w:t>
      </w:r>
    </w:p>
    <w:p w14:paraId="5C437794">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1.采购公告发布前，采购的信息，如：采购方式、供应商的资格要求、评审办法等；</w:t>
      </w:r>
    </w:p>
    <w:p w14:paraId="7180AA96">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2.领购采购文件的供应商信息；</w:t>
      </w:r>
    </w:p>
    <w:p w14:paraId="597A7B9A">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3.开标（开启）情况；</w:t>
      </w:r>
    </w:p>
    <w:p w14:paraId="69935946">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4.结果公告发布前，评审专家姓名、联系方式；</w:t>
      </w:r>
    </w:p>
    <w:p w14:paraId="2876A409">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5.评审过程的文件和信息；</w:t>
      </w:r>
    </w:p>
    <w:p w14:paraId="3FC762B7">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6.评审报告；</w:t>
      </w:r>
    </w:p>
    <w:p w14:paraId="1D02AD0D">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7.其他一经泄露可能给合作双方或一方造成负面不良影响的资料信息。</w:t>
      </w:r>
    </w:p>
    <w:p w14:paraId="4EDF32BE">
      <w:pPr>
        <w:spacing w:line="360" w:lineRule="auto"/>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rPr>
        <w:t>二、强制性披露信息保密义务豁免</w:t>
      </w:r>
    </w:p>
    <w:p w14:paraId="1B019C99">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依据相应法律法规需要公布的信息不受本协议的约束。</w:t>
      </w:r>
    </w:p>
    <w:p w14:paraId="7F278E1C">
      <w:pPr>
        <w:spacing w:line="360" w:lineRule="auto"/>
        <w:ind w:firstLine="480" w:firstLineChars="200"/>
        <w:jc w:val="left"/>
        <w:rPr>
          <w:rFonts w:ascii="仿宋" w:hAnsi="仿宋" w:eastAsia="仿宋" w:cs="仿宋"/>
          <w:color w:val="000000"/>
          <w:sz w:val="24"/>
          <w:szCs w:val="24"/>
        </w:rPr>
      </w:pPr>
    </w:p>
    <w:p w14:paraId="708789F5">
      <w:pPr>
        <w:spacing w:line="360" w:lineRule="auto"/>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rPr>
        <w:t>三、保密事项</w:t>
      </w:r>
    </w:p>
    <w:p w14:paraId="15B12FC6">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1.双方均认可在采购的全过程中，保密将关系到采购是否能够达到预期目标和影响采购成败。双方人员都应自觉遵守保密约定，以维护采购活动公正公平顺利完成。</w:t>
      </w:r>
    </w:p>
    <w:p w14:paraId="6279827E">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2.在采购活动期间，各方不得向无关人员，尤其是供应商透露采购工作的保密信息，如：供应商的名称、数量、以及其他与采购相关的重要信息。</w:t>
      </w:r>
    </w:p>
    <w:p w14:paraId="1CC7F338">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3.任何一方不应私自与供应商就本次采购内容进行单方接触或谈判。因工作需要或业务目的而接触供应商相关人员及其他相关对外活动均应事前、事后互相知会，默契配合做好采购工作。</w:t>
      </w:r>
    </w:p>
    <w:p w14:paraId="60025A5B">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4.因单方泄漏采购活动相关信息而影响项目进展，都是对项目和对双方利益的侵害，应由泄密方承担全部责任。</w:t>
      </w:r>
    </w:p>
    <w:p w14:paraId="2B7896DA">
      <w:pPr>
        <w:spacing w:line="360" w:lineRule="auto"/>
        <w:ind w:firstLine="562" w:firstLineChars="200"/>
        <w:outlineLvl w:val="0"/>
        <w:rPr>
          <w:rFonts w:ascii="黑体" w:hAnsi="黑体" w:eastAsia="黑体" w:cs="黑体"/>
          <w:b/>
          <w:color w:val="000000"/>
          <w:sz w:val="28"/>
          <w:szCs w:val="28"/>
        </w:rPr>
      </w:pPr>
      <w:r>
        <w:rPr>
          <w:rFonts w:hint="eastAsia" w:ascii="黑体" w:hAnsi="黑体" w:eastAsia="黑体" w:cs="黑体"/>
          <w:b/>
          <w:color w:val="000000"/>
          <w:sz w:val="28"/>
          <w:szCs w:val="28"/>
        </w:rPr>
        <w:t>四、违约责任</w:t>
      </w:r>
    </w:p>
    <w:p w14:paraId="1BD93587">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1.甲乙双方任何一方违反协议中的保密义务，均应承担违约责任。</w:t>
      </w:r>
    </w:p>
    <w:p w14:paraId="15C66F00">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2.甲方如将保密信息泄露给第三方致使采购活动出现问题或者失败的，自行承担责任。</w:t>
      </w:r>
    </w:p>
    <w:p w14:paraId="5C7820D1">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3.乙方如将保密信息泄露给第三方致使采购活动出现问题或者活动失败的，应对甲方进行赔偿，其赔偿数额不少于因其泄密行为给甲方所造成的损失。</w:t>
      </w:r>
    </w:p>
    <w:p w14:paraId="7C6C02F2">
      <w:pPr>
        <w:tabs>
          <w:tab w:val="left" w:pos="5040"/>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4.乙方如故意泄密而给甲方或其相关客户造成严重损害后果的，甲方有权追究乙方违约责任，涉嫌犯罪的，移交相关司法部门追究泄密刑事责任。</w:t>
      </w:r>
    </w:p>
    <w:p w14:paraId="53AB24C4">
      <w:pPr>
        <w:tabs>
          <w:tab w:val="left" w:pos="5040"/>
        </w:tabs>
        <w:spacing w:line="360" w:lineRule="auto"/>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五、若双方发生争议，可由双方共同协商解决。</w:t>
      </w:r>
    </w:p>
    <w:p w14:paraId="433AB29B">
      <w:pPr>
        <w:pStyle w:val="6"/>
        <w:rPr>
          <w:rFonts w:hint="eastAsia" w:ascii="黑体" w:hAnsi="黑体" w:eastAsia="黑体" w:cs="黑体"/>
          <w:b/>
          <w:color w:val="000000"/>
          <w:sz w:val="28"/>
          <w:szCs w:val="28"/>
        </w:rPr>
      </w:pPr>
    </w:p>
    <w:p w14:paraId="6C2987E5">
      <w:pPr>
        <w:rPr>
          <w:rFonts w:hint="eastAsia" w:ascii="黑体" w:hAnsi="黑体" w:eastAsia="黑体" w:cs="黑体"/>
          <w:b/>
          <w:color w:val="000000"/>
          <w:sz w:val="28"/>
          <w:szCs w:val="28"/>
        </w:rPr>
      </w:pPr>
    </w:p>
    <w:p w14:paraId="07C4216E">
      <w:pPr>
        <w:pStyle w:val="6"/>
        <w:rPr>
          <w:rFonts w:hint="eastAsia" w:ascii="黑体" w:hAnsi="黑体" w:eastAsia="黑体" w:cs="黑体"/>
          <w:b/>
          <w:color w:val="000000"/>
          <w:sz w:val="28"/>
          <w:szCs w:val="28"/>
        </w:rPr>
      </w:pPr>
    </w:p>
    <w:p w14:paraId="4A04C477">
      <w:pPr>
        <w:rPr>
          <w:rFonts w:hint="eastAsia" w:ascii="黑体" w:hAnsi="黑体" w:eastAsia="黑体" w:cs="黑体"/>
          <w:b/>
          <w:color w:val="000000"/>
          <w:sz w:val="28"/>
          <w:szCs w:val="28"/>
        </w:rPr>
      </w:pPr>
    </w:p>
    <w:p w14:paraId="43FFA0D2">
      <w:pPr>
        <w:pStyle w:val="6"/>
        <w:rPr>
          <w:rFonts w:hint="eastAsia" w:ascii="黑体" w:hAnsi="黑体" w:eastAsia="黑体" w:cs="黑体"/>
          <w:b/>
          <w:color w:val="000000"/>
          <w:sz w:val="28"/>
          <w:szCs w:val="28"/>
        </w:rPr>
      </w:pPr>
    </w:p>
    <w:p w14:paraId="060FD7E3">
      <w:pPr>
        <w:rPr>
          <w:rFonts w:hint="eastAsia" w:ascii="黑体" w:hAnsi="黑体" w:eastAsia="黑体" w:cs="黑体"/>
          <w:b/>
          <w:color w:val="000000"/>
          <w:sz w:val="28"/>
          <w:szCs w:val="28"/>
        </w:rPr>
      </w:pPr>
    </w:p>
    <w:p w14:paraId="3144B067">
      <w:pPr>
        <w:pStyle w:val="6"/>
        <w:rPr>
          <w:rFonts w:hint="eastAsia" w:ascii="黑体" w:hAnsi="黑体" w:eastAsia="黑体" w:cs="黑体"/>
          <w:b/>
          <w:color w:val="000000"/>
          <w:sz w:val="28"/>
          <w:szCs w:val="28"/>
        </w:rPr>
      </w:pPr>
    </w:p>
    <w:p w14:paraId="0B038377">
      <w:pPr>
        <w:rPr>
          <w:rFonts w:hint="eastAsia" w:ascii="黑体" w:hAnsi="黑体" w:eastAsia="黑体" w:cs="黑体"/>
          <w:b/>
          <w:color w:val="000000"/>
          <w:sz w:val="28"/>
          <w:szCs w:val="28"/>
        </w:rPr>
      </w:pPr>
    </w:p>
    <w:p w14:paraId="15E2E836">
      <w:pPr>
        <w:pStyle w:val="6"/>
        <w:rPr>
          <w:rFonts w:hint="eastAsia" w:ascii="黑体" w:hAnsi="黑体" w:eastAsia="黑体" w:cs="黑体"/>
          <w:b/>
          <w:color w:val="000000"/>
          <w:sz w:val="28"/>
          <w:szCs w:val="28"/>
        </w:rPr>
      </w:pPr>
    </w:p>
    <w:p w14:paraId="1AE03C1F">
      <w:pPr>
        <w:rPr>
          <w:rFonts w:hint="eastAsia" w:ascii="黑体" w:hAnsi="黑体" w:eastAsia="黑体" w:cs="黑体"/>
          <w:b/>
          <w:color w:val="000000"/>
          <w:sz w:val="28"/>
          <w:szCs w:val="28"/>
        </w:rPr>
      </w:pPr>
    </w:p>
    <w:p w14:paraId="2F284F8C">
      <w:pPr>
        <w:pStyle w:val="6"/>
        <w:rPr>
          <w:rFonts w:hint="eastAsia" w:ascii="黑体" w:hAnsi="黑体" w:eastAsia="黑体" w:cs="黑体"/>
          <w:b/>
          <w:color w:val="000000"/>
          <w:sz w:val="28"/>
          <w:szCs w:val="28"/>
        </w:rPr>
      </w:pPr>
    </w:p>
    <w:p w14:paraId="64E72F12">
      <w:pPr>
        <w:widowControl/>
        <w:spacing w:line="400" w:lineRule="atLeast"/>
        <w:jc w:val="left"/>
        <w:rPr>
          <w:rFonts w:ascii="&amp;quot" w:hAnsi="&amp;quot" w:eastAsia="宋体" w:cs="宋体"/>
          <w:color w:val="3C3C3C"/>
          <w:kern w:val="0"/>
          <w:szCs w:val="21"/>
        </w:rPr>
      </w:pPr>
      <w:r>
        <w:rPr>
          <w:rFonts w:hint="eastAsia" w:ascii="宋体" w:hAnsi="宋体" w:eastAsia="宋体" w:cs="宋体"/>
          <w:b/>
          <w:bCs/>
          <w:color w:val="333333"/>
          <w:kern w:val="0"/>
          <w:sz w:val="24"/>
          <w:szCs w:val="24"/>
        </w:rPr>
        <w:t>附表：计价格〔2002〕1980 号</w:t>
      </w:r>
      <w:r>
        <w:rPr>
          <w:rFonts w:hint="eastAsia" w:ascii="宋体" w:hAnsi="宋体" w:eastAsia="宋体" w:cs="宋体"/>
          <w:b/>
          <w:bCs/>
          <w:color w:val="333333"/>
          <w:kern w:val="0"/>
          <w:sz w:val="24"/>
          <w:szCs w:val="24"/>
          <w:lang w:val="en-US" w:eastAsia="zh-CN"/>
        </w:rPr>
        <w:t>文</w:t>
      </w:r>
      <w:r>
        <w:rPr>
          <w:rFonts w:hint="eastAsia" w:ascii="宋体" w:hAnsi="宋体" w:eastAsia="宋体" w:cs="宋体"/>
          <w:b/>
          <w:bCs/>
          <w:color w:val="333333"/>
          <w:kern w:val="0"/>
          <w:sz w:val="24"/>
          <w:szCs w:val="24"/>
        </w:rPr>
        <w:t>招标代理服务收费标准</w:t>
      </w:r>
    </w:p>
    <w:tbl>
      <w:tblPr>
        <w:tblStyle w:val="7"/>
        <w:tblW w:w="0" w:type="auto"/>
        <w:tblInd w:w="0" w:type="dxa"/>
        <w:tblLayout w:type="autofit"/>
        <w:tblCellMar>
          <w:top w:w="0" w:type="dxa"/>
          <w:left w:w="0" w:type="dxa"/>
          <w:bottom w:w="0" w:type="dxa"/>
          <w:right w:w="0" w:type="dxa"/>
        </w:tblCellMar>
      </w:tblPr>
      <w:tblGrid>
        <w:gridCol w:w="2452"/>
        <w:gridCol w:w="1984"/>
        <w:gridCol w:w="1984"/>
        <w:gridCol w:w="1984"/>
      </w:tblGrid>
      <w:tr w14:paraId="3F43AC36">
        <w:tblPrEx>
          <w:tblCellMar>
            <w:top w:w="0" w:type="dxa"/>
            <w:left w:w="0" w:type="dxa"/>
            <w:bottom w:w="0" w:type="dxa"/>
            <w:right w:w="0" w:type="dxa"/>
          </w:tblCellMar>
        </w:tblPrEx>
        <w:trPr>
          <w:trHeight w:val="360"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20E3C6">
            <w:pPr>
              <w:widowControl/>
              <w:spacing w:line="400" w:lineRule="atLeast"/>
              <w:ind w:firstLine="1275"/>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服</w:t>
            </w:r>
          </w:p>
          <w:p w14:paraId="6ADDDF5A">
            <w:pPr>
              <w:widowControl/>
              <w:spacing w:line="400" w:lineRule="atLeast"/>
              <w:ind w:firstLine="211"/>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费　　　　务</w:t>
            </w:r>
          </w:p>
          <w:p w14:paraId="6C8A479F">
            <w:pPr>
              <w:widowControl/>
              <w:spacing w:line="400" w:lineRule="atLeast"/>
              <w:ind w:firstLine="1004"/>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　　 类</w:t>
            </w:r>
          </w:p>
          <w:p w14:paraId="4C2ACDF1">
            <w:pPr>
              <w:widowControl/>
              <w:spacing w:line="400" w:lineRule="atLeast"/>
              <w:ind w:left="1872" w:hanging="826"/>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率　  型</w:t>
            </w:r>
          </w:p>
          <w:p w14:paraId="4EFAF088">
            <w:pPr>
              <w:widowControl/>
              <w:spacing w:line="400" w:lineRule="atLeast"/>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中标金额</w:t>
            </w:r>
          </w:p>
          <w:p w14:paraId="1BED1C5B">
            <w:pPr>
              <w:widowControl/>
              <w:spacing w:line="400" w:lineRule="atLeast"/>
              <w:jc w:val="left"/>
              <w:rPr>
                <w:rFonts w:ascii="宋体" w:hAnsi="宋体" w:eastAsia="宋体" w:cs="宋体"/>
                <w:color w:val="3C3C3C"/>
                <w:kern w:val="0"/>
                <w:szCs w:val="21"/>
              </w:rPr>
            </w:pPr>
            <w:r>
              <w:rPr>
                <w:rFonts w:hint="eastAsia" w:ascii="宋体" w:hAnsi="宋体" w:eastAsia="宋体" w:cs="宋体"/>
                <w:b/>
                <w:bCs/>
                <w:color w:val="333333"/>
                <w:kern w:val="0"/>
                <w:sz w:val="24"/>
                <w:szCs w:val="24"/>
              </w:rPr>
              <w:t>（万元）</w:t>
            </w:r>
          </w:p>
        </w:tc>
        <w:tc>
          <w:tcPr>
            <w:tcW w:w="1984"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2B01B426">
            <w:pPr>
              <w:widowControl/>
              <w:spacing w:line="400" w:lineRule="atLeast"/>
              <w:jc w:val="center"/>
              <w:rPr>
                <w:rFonts w:ascii="宋体" w:hAnsi="宋体" w:eastAsia="宋体" w:cs="宋体"/>
                <w:color w:val="3C3C3C"/>
                <w:kern w:val="0"/>
                <w:szCs w:val="21"/>
              </w:rPr>
            </w:pPr>
            <w:r>
              <w:rPr>
                <w:rFonts w:hint="eastAsia" w:ascii="宋体" w:hAnsi="宋体" w:eastAsia="宋体" w:cs="宋体"/>
                <w:b/>
                <w:bCs/>
                <w:color w:val="333333"/>
                <w:kern w:val="0"/>
                <w:sz w:val="24"/>
                <w:szCs w:val="24"/>
              </w:rPr>
              <w:t>货物招标</w:t>
            </w:r>
          </w:p>
        </w:tc>
        <w:tc>
          <w:tcPr>
            <w:tcW w:w="1984"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74BE4F93">
            <w:pPr>
              <w:widowControl/>
              <w:spacing w:line="400" w:lineRule="atLeast"/>
              <w:jc w:val="center"/>
              <w:rPr>
                <w:rFonts w:ascii="宋体" w:hAnsi="宋体" w:eastAsia="宋体" w:cs="宋体"/>
                <w:color w:val="3C3C3C"/>
                <w:kern w:val="0"/>
                <w:szCs w:val="21"/>
              </w:rPr>
            </w:pPr>
            <w:r>
              <w:rPr>
                <w:rFonts w:hint="eastAsia" w:ascii="宋体" w:hAnsi="宋体" w:eastAsia="宋体" w:cs="宋体"/>
                <w:b/>
                <w:bCs/>
                <w:color w:val="333333"/>
                <w:kern w:val="0"/>
                <w:sz w:val="24"/>
                <w:szCs w:val="24"/>
              </w:rPr>
              <w:t>服务招标</w:t>
            </w:r>
          </w:p>
        </w:tc>
        <w:tc>
          <w:tcPr>
            <w:tcW w:w="1984"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F812DCF">
            <w:pPr>
              <w:widowControl/>
              <w:spacing w:line="400" w:lineRule="atLeast"/>
              <w:jc w:val="center"/>
              <w:rPr>
                <w:rFonts w:ascii="宋体" w:hAnsi="宋体" w:eastAsia="宋体" w:cs="宋体"/>
                <w:color w:val="3C3C3C"/>
                <w:kern w:val="0"/>
                <w:szCs w:val="21"/>
              </w:rPr>
            </w:pPr>
            <w:r>
              <w:rPr>
                <w:rFonts w:hint="eastAsia" w:ascii="宋体" w:hAnsi="宋体" w:eastAsia="宋体" w:cs="宋体"/>
                <w:b/>
                <w:bCs/>
                <w:color w:val="333333"/>
                <w:kern w:val="0"/>
                <w:sz w:val="24"/>
                <w:szCs w:val="24"/>
              </w:rPr>
              <w:t>工程招标</w:t>
            </w:r>
          </w:p>
        </w:tc>
      </w:tr>
      <w:tr w14:paraId="5E928002">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0B91E7">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100以下</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2E22166">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6133BED1">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B4D73D0">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w:t>
            </w:r>
          </w:p>
        </w:tc>
      </w:tr>
      <w:tr w14:paraId="058ED0D7">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7480B59">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100-500</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6A8AF4B0">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1.1%</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6760D1EF">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0.8%</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3FCB93A">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0.7%</w:t>
            </w:r>
          </w:p>
        </w:tc>
      </w:tr>
      <w:tr w14:paraId="3D07FF0D">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44F0142">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500-1000</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31D5A24D">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0.8%</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24603BA8">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0.45%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3212A5DB">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0.55%</w:t>
            </w:r>
          </w:p>
        </w:tc>
      </w:tr>
      <w:tr w14:paraId="31118D46">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A349EDB">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1000-5000</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0FB3599A">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4DC861A4">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0.25%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12900BA4">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0.35%</w:t>
            </w:r>
          </w:p>
        </w:tc>
      </w:tr>
      <w:tr w14:paraId="49BC2FD3">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A56DE8">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5000-10000</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335888C5">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0.25%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1C4FD906">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0.1%</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B78E087">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0.2%</w:t>
            </w:r>
          </w:p>
        </w:tc>
      </w:tr>
      <w:tr w14:paraId="0AE6CFE7">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AA8C134">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10000-100000</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1CD7107E">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465E4D2">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0.05%</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201F272A">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0.05%</w:t>
            </w:r>
          </w:p>
        </w:tc>
      </w:tr>
      <w:tr w14:paraId="751027E9">
        <w:tblPrEx>
          <w:tblCellMar>
            <w:top w:w="0" w:type="dxa"/>
            <w:left w:w="0" w:type="dxa"/>
            <w:bottom w:w="0" w:type="dxa"/>
            <w:right w:w="0" w:type="dxa"/>
          </w:tblCellMar>
        </w:tblPrEx>
        <w:trPr>
          <w:trHeight w:val="360" w:hRule="atLeast"/>
        </w:trPr>
        <w:tc>
          <w:tcPr>
            <w:tcW w:w="2452"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7F49B91">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1000000以上</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7E72E8AE">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0.01%</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0C8FC91D">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0.01%</w:t>
            </w:r>
          </w:p>
        </w:tc>
        <w:tc>
          <w:tcPr>
            <w:tcW w:w="1984"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tcPr>
          <w:p w14:paraId="076C9B3F">
            <w:pPr>
              <w:widowControl/>
              <w:spacing w:line="400" w:lineRule="atLeast"/>
              <w:jc w:val="center"/>
              <w:rPr>
                <w:rFonts w:ascii="宋体" w:hAnsi="宋体" w:eastAsia="宋体" w:cs="宋体"/>
                <w:color w:val="3C3C3C"/>
                <w:kern w:val="0"/>
                <w:szCs w:val="21"/>
              </w:rPr>
            </w:pPr>
            <w:r>
              <w:rPr>
                <w:rFonts w:hint="eastAsia" w:ascii="宋体" w:hAnsi="宋体" w:eastAsia="宋体" w:cs="宋体"/>
                <w:color w:val="3C3C3C"/>
                <w:kern w:val="0"/>
                <w:sz w:val="24"/>
                <w:szCs w:val="24"/>
              </w:rPr>
              <w:t>0.01%</w:t>
            </w:r>
          </w:p>
        </w:tc>
      </w:tr>
    </w:tbl>
    <w:p w14:paraId="0782EA37">
      <w:pPr>
        <w:widowControl/>
        <w:spacing w:line="400" w:lineRule="atLeast"/>
        <w:ind w:left="720" w:hanging="720"/>
        <w:jc w:val="left"/>
        <w:rPr>
          <w:rFonts w:ascii="&amp;quot" w:hAnsi="&amp;quot" w:eastAsia="宋体" w:cs="宋体"/>
          <w:color w:val="3C3C3C"/>
          <w:kern w:val="0"/>
          <w:szCs w:val="21"/>
        </w:rPr>
      </w:pPr>
      <w:r>
        <w:rPr>
          <w:rFonts w:hint="eastAsia" w:ascii="宋体" w:hAnsi="宋体" w:eastAsia="宋体" w:cs="宋体"/>
          <w:color w:val="3C3C3C"/>
          <w:kern w:val="0"/>
          <w:sz w:val="24"/>
          <w:szCs w:val="24"/>
        </w:rPr>
        <w:t>注：1.按本表费率计算的收费为招标代理服务全过程的收费基准价格，单独提供编制招标文件（有标底的含标底）服务的，可按规定标准的30%计收。</w:t>
      </w:r>
    </w:p>
    <w:p w14:paraId="6414A9EB">
      <w:pPr>
        <w:widowControl/>
        <w:spacing w:line="400" w:lineRule="atLeast"/>
        <w:ind w:left="630" w:hanging="210"/>
        <w:jc w:val="left"/>
        <w:rPr>
          <w:rFonts w:ascii="&amp;quot" w:hAnsi="&amp;quot" w:eastAsia="宋体" w:cs="宋体"/>
          <w:color w:val="3C3C3C"/>
          <w:kern w:val="0"/>
          <w:szCs w:val="21"/>
        </w:rPr>
      </w:pPr>
      <w:r>
        <w:rPr>
          <w:rFonts w:hint="eastAsia" w:ascii="宋体" w:hAnsi="宋体" w:eastAsia="宋体" w:cs="宋体"/>
          <w:color w:val="3C3C3C"/>
          <w:kern w:val="0"/>
          <w:sz w:val="24"/>
          <w:szCs w:val="24"/>
        </w:rPr>
        <w:t>2.招标代理服务收费按差额定率累进法计算。例如：某工程招标代理业务中标金额为6000万元，计算招标代理服务收费额如下：</w:t>
      </w:r>
    </w:p>
    <w:p w14:paraId="0B4D53B5">
      <w:pPr>
        <w:widowControl/>
        <w:spacing w:line="400" w:lineRule="atLeast"/>
        <w:ind w:firstLine="720" w:firstLineChars="300"/>
        <w:jc w:val="left"/>
        <w:rPr>
          <w:rFonts w:ascii="&amp;quot" w:hAnsi="&amp;quot" w:eastAsia="宋体" w:cs="宋体"/>
          <w:color w:val="3C3C3C"/>
          <w:kern w:val="0"/>
          <w:szCs w:val="21"/>
        </w:rPr>
      </w:pPr>
      <w:r>
        <w:rPr>
          <w:rFonts w:hint="eastAsia" w:ascii="宋体" w:hAnsi="宋体" w:eastAsia="宋体" w:cs="宋体"/>
          <w:color w:val="3C3C3C"/>
          <w:kern w:val="0"/>
          <w:sz w:val="24"/>
          <w:szCs w:val="24"/>
        </w:rPr>
        <w:t>100万元×1.0%=1万元</w:t>
      </w:r>
    </w:p>
    <w:p w14:paraId="16F1DD75">
      <w:pPr>
        <w:widowControl/>
        <w:spacing w:line="400" w:lineRule="atLeast"/>
        <w:ind w:firstLine="720" w:firstLineChars="300"/>
        <w:jc w:val="left"/>
        <w:rPr>
          <w:rFonts w:ascii="&amp;quot" w:hAnsi="&amp;quot" w:eastAsia="宋体" w:cs="宋体"/>
          <w:color w:val="3C3C3C"/>
          <w:kern w:val="0"/>
          <w:szCs w:val="21"/>
        </w:rPr>
      </w:pPr>
      <w:r>
        <w:rPr>
          <w:rFonts w:hint="eastAsia" w:ascii="宋体" w:hAnsi="宋体" w:eastAsia="宋体" w:cs="宋体"/>
          <w:color w:val="3C3C3C"/>
          <w:kern w:val="0"/>
          <w:sz w:val="24"/>
          <w:szCs w:val="24"/>
        </w:rPr>
        <w:t>（500-100）万元×0.7%=2.8万元</w:t>
      </w:r>
    </w:p>
    <w:p w14:paraId="17FA86A7">
      <w:pPr>
        <w:widowControl/>
        <w:spacing w:line="400" w:lineRule="atLeast"/>
        <w:ind w:firstLine="480" w:firstLineChars="200"/>
        <w:jc w:val="left"/>
        <w:rPr>
          <w:rFonts w:ascii="&amp;quot" w:hAnsi="&amp;quot" w:eastAsia="宋体" w:cs="宋体"/>
          <w:color w:val="3C3C3C"/>
          <w:kern w:val="0"/>
          <w:szCs w:val="21"/>
        </w:rPr>
      </w:pPr>
      <w:r>
        <w:rPr>
          <w:rFonts w:hint="eastAsia" w:ascii="宋体" w:hAnsi="宋体" w:eastAsia="宋体" w:cs="宋体"/>
          <w:color w:val="3C3C3C"/>
          <w:kern w:val="0"/>
          <w:sz w:val="24"/>
          <w:szCs w:val="24"/>
        </w:rPr>
        <w:t>（1000-500）×0.55%=2.75万元</w:t>
      </w:r>
    </w:p>
    <w:p w14:paraId="2419221D">
      <w:pPr>
        <w:widowControl/>
        <w:spacing w:line="400" w:lineRule="atLeast"/>
        <w:ind w:firstLine="480" w:firstLineChars="200"/>
        <w:jc w:val="left"/>
        <w:rPr>
          <w:rFonts w:ascii="&amp;quot" w:hAnsi="&amp;quot" w:eastAsia="宋体" w:cs="宋体"/>
          <w:color w:val="3C3C3C"/>
          <w:kern w:val="0"/>
          <w:szCs w:val="21"/>
        </w:rPr>
      </w:pPr>
      <w:r>
        <w:rPr>
          <w:rFonts w:hint="eastAsia" w:ascii="宋体" w:hAnsi="宋体" w:eastAsia="宋体" w:cs="宋体"/>
          <w:color w:val="3C3C3C"/>
          <w:kern w:val="0"/>
          <w:sz w:val="24"/>
          <w:szCs w:val="24"/>
        </w:rPr>
        <w:t>（5000-1000）×0.35%=14万元</w:t>
      </w:r>
    </w:p>
    <w:p w14:paraId="2B5AD11F">
      <w:pPr>
        <w:widowControl/>
        <w:spacing w:line="400" w:lineRule="atLeast"/>
        <w:ind w:firstLine="480" w:firstLineChars="200"/>
        <w:jc w:val="left"/>
        <w:rPr>
          <w:rFonts w:ascii="&amp;quot" w:hAnsi="&amp;quot" w:eastAsia="宋体" w:cs="宋体"/>
          <w:color w:val="3C3C3C"/>
          <w:kern w:val="0"/>
          <w:szCs w:val="21"/>
        </w:rPr>
      </w:pPr>
      <w:r>
        <w:rPr>
          <w:rFonts w:hint="eastAsia" w:ascii="宋体" w:hAnsi="宋体" w:eastAsia="宋体" w:cs="宋体"/>
          <w:color w:val="3C3C3C"/>
          <w:kern w:val="0"/>
          <w:sz w:val="24"/>
          <w:szCs w:val="24"/>
        </w:rPr>
        <w:t>（6000-5000）×0.2%=2万元</w:t>
      </w:r>
    </w:p>
    <w:p w14:paraId="1F17DBBB">
      <w:pPr>
        <w:widowControl/>
        <w:spacing w:line="400" w:lineRule="atLeast"/>
        <w:ind w:firstLine="480" w:firstLineChars="200"/>
        <w:jc w:val="left"/>
      </w:pPr>
      <w:r>
        <w:rPr>
          <w:rFonts w:hint="eastAsia" w:ascii="宋体" w:hAnsi="宋体" w:eastAsia="宋体" w:cs="宋体"/>
          <w:color w:val="3C3C3C"/>
          <w:kern w:val="0"/>
          <w:sz w:val="24"/>
          <w:szCs w:val="24"/>
        </w:rPr>
        <w:t>合计收费=1+2.8+2.75+14+2=22.55（万元）</w:t>
      </w:r>
    </w:p>
    <w:p w14:paraId="387544C5">
      <w:pPr>
        <w:rPr>
          <w:rFonts w:hint="eastAsia" w:ascii="黑体" w:hAnsi="黑体" w:eastAsia="黑体" w:cs="黑体"/>
          <w:b/>
          <w:color w:val="000000"/>
          <w:sz w:val="28"/>
          <w:szCs w:val="28"/>
        </w:rPr>
      </w:pPr>
    </w:p>
    <w:p w14:paraId="4F416A92">
      <w:pPr>
        <w:pStyle w:val="6"/>
        <w:rPr>
          <w:rFonts w:hint="eastAsia" w:ascii="黑体" w:hAnsi="黑体" w:eastAsia="黑体" w:cs="黑体"/>
          <w:b/>
          <w:color w:val="000000"/>
          <w:sz w:val="28"/>
          <w:szCs w:val="28"/>
        </w:rPr>
      </w:pPr>
    </w:p>
    <w:p w14:paraId="20F95A2F">
      <w:pPr>
        <w:rPr>
          <w:rFonts w:hint="eastAsia" w:ascii="黑体" w:hAnsi="黑体" w:eastAsia="黑体" w:cs="黑体"/>
          <w:b/>
          <w:color w:val="000000"/>
          <w:sz w:val="28"/>
          <w:szCs w:val="28"/>
        </w:rPr>
      </w:pPr>
    </w:p>
    <w:p w14:paraId="28AC753F">
      <w:pPr>
        <w:pStyle w:val="6"/>
        <w:rPr>
          <w:rFonts w:hint="eastAsia" w:ascii="黑体" w:hAnsi="黑体" w:eastAsia="黑体" w:cs="黑体"/>
          <w:b/>
          <w:color w:val="000000"/>
          <w:sz w:val="28"/>
          <w:szCs w:val="28"/>
        </w:rPr>
      </w:pPr>
    </w:p>
    <w:p w14:paraId="4828A9A1">
      <w:pPr>
        <w:rPr>
          <w:rFonts w:hint="eastAsia"/>
        </w:rPr>
      </w:pPr>
    </w:p>
    <w:p w14:paraId="733C5BC2">
      <w:pPr>
        <w:pStyle w:val="6"/>
        <w:rPr>
          <w:rFonts w:hint="eastAsia" w:ascii="黑体" w:hAnsi="黑体" w:eastAsia="黑体" w:cs="黑体"/>
          <w:b/>
          <w:color w:val="000000"/>
          <w:sz w:val="28"/>
          <w:szCs w:val="28"/>
        </w:rPr>
      </w:pPr>
    </w:p>
    <w:p w14:paraId="2E4A1492">
      <w:pPr>
        <w:rPr>
          <w:rFonts w:hint="default" w:ascii="黑体" w:hAnsi="黑体" w:eastAsia="黑体" w:cs="黑体"/>
          <w:b/>
          <w:color w:val="000000"/>
          <w:sz w:val="28"/>
          <w:szCs w:val="28"/>
          <w:lang w:val="en-US"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mp;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977E">
    <w:pPr>
      <w:pStyle w:val="4"/>
      <w:jc w:val="center"/>
    </w:pPr>
    <w:r>
      <w:t>第</w:t>
    </w: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Arabic  \* MERGEFORMAT </w:instrText>
    </w:r>
    <w:r>
      <w:fldChar w:fldCharType="separate"/>
    </w:r>
    <w:r>
      <w:t>24</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4C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BFB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858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625896">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Arabic  \* MERGEFORMAT </w:instrText>
                          </w:r>
                          <w:r>
                            <w:fldChar w:fldCharType="separate"/>
                          </w:r>
                          <w:r>
                            <w:t>24</w:t>
                          </w:r>
                          <w:r>
                            <w:fldChar w:fldCharType="end"/>
                          </w:r>
                          <w: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XU/1z&#10;7QEAANUDAAAOAAAAAAAAAAEAIAAAAB4BAABkcnMvZTJvRG9jLnhtbFBLBQYAAAAABgAGAFkBAAB9&#10;BQAAAAA=&#10;">
              <v:fill on="f" focussize="0,0"/>
              <v:stroke on="f"/>
              <v:imagedata o:title=""/>
              <o:lock v:ext="edit" aspectratio="f"/>
              <v:textbox inset="0mm,0mm,0mm,0mm" style="mso-fit-shape-to-text:t;">
                <w:txbxContent>
                  <w:p w14:paraId="10625896">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Arabic  \* MERGEFORMAT </w:instrText>
                    </w:r>
                    <w:r>
                      <w:fldChar w:fldCharType="separate"/>
                    </w:r>
                    <w:r>
                      <w:t>24</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63E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EB3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848D">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B14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02536"/>
    <w:multiLevelType w:val="multilevel"/>
    <w:tmpl w:val="24B0253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2B2C0D"/>
    <w:multiLevelType w:val="singleLevel"/>
    <w:tmpl w:val="5D2B2C0D"/>
    <w:lvl w:ilvl="0" w:tentative="0">
      <w:start w:val="1"/>
      <w:numFmt w:val="decimal"/>
      <w:suff w:val="nothing"/>
      <w:lvlText w:val="（%1）"/>
      <w:lvlJc w:val="left"/>
    </w:lvl>
  </w:abstractNum>
  <w:abstractNum w:abstractNumId="2">
    <w:nsid w:val="60F3243C"/>
    <w:multiLevelType w:val="singleLevel"/>
    <w:tmpl w:val="60F3243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5A"/>
    <w:rsid w:val="00207BF4"/>
    <w:rsid w:val="00220128"/>
    <w:rsid w:val="00565614"/>
    <w:rsid w:val="00593ED1"/>
    <w:rsid w:val="00806D38"/>
    <w:rsid w:val="00956CD7"/>
    <w:rsid w:val="00A5025A"/>
    <w:rsid w:val="00DC3EC2"/>
    <w:rsid w:val="00E116ED"/>
    <w:rsid w:val="060C3DAD"/>
    <w:rsid w:val="068B65D1"/>
    <w:rsid w:val="07652CDE"/>
    <w:rsid w:val="07A82607"/>
    <w:rsid w:val="0BB426E2"/>
    <w:rsid w:val="0CD12600"/>
    <w:rsid w:val="0EA63619"/>
    <w:rsid w:val="1178430B"/>
    <w:rsid w:val="13EE3A98"/>
    <w:rsid w:val="147E12BF"/>
    <w:rsid w:val="15003A82"/>
    <w:rsid w:val="166A31D6"/>
    <w:rsid w:val="17B84AE8"/>
    <w:rsid w:val="18F7519C"/>
    <w:rsid w:val="19483C4A"/>
    <w:rsid w:val="1B157ABC"/>
    <w:rsid w:val="1B410951"/>
    <w:rsid w:val="1C7D5E5A"/>
    <w:rsid w:val="1E8275B7"/>
    <w:rsid w:val="1FCF29CF"/>
    <w:rsid w:val="216D06F2"/>
    <w:rsid w:val="22464B0B"/>
    <w:rsid w:val="235E1CAB"/>
    <w:rsid w:val="259D531E"/>
    <w:rsid w:val="25BF40DF"/>
    <w:rsid w:val="2BD27BD7"/>
    <w:rsid w:val="2C844B41"/>
    <w:rsid w:val="2DDF51E2"/>
    <w:rsid w:val="2F596346"/>
    <w:rsid w:val="2FCD67FF"/>
    <w:rsid w:val="2FD348D9"/>
    <w:rsid w:val="305C5721"/>
    <w:rsid w:val="30CB1722"/>
    <w:rsid w:val="327A508F"/>
    <w:rsid w:val="329655CE"/>
    <w:rsid w:val="3307027A"/>
    <w:rsid w:val="34495489"/>
    <w:rsid w:val="386A108F"/>
    <w:rsid w:val="398B0443"/>
    <w:rsid w:val="3A5220C6"/>
    <w:rsid w:val="3B2A71FC"/>
    <w:rsid w:val="3EAB41B0"/>
    <w:rsid w:val="3EDC080D"/>
    <w:rsid w:val="3EF20030"/>
    <w:rsid w:val="3F56236D"/>
    <w:rsid w:val="43E519DE"/>
    <w:rsid w:val="46004DE1"/>
    <w:rsid w:val="48084421"/>
    <w:rsid w:val="48757D08"/>
    <w:rsid w:val="497C0AB4"/>
    <w:rsid w:val="4AE41175"/>
    <w:rsid w:val="4CCE3E8B"/>
    <w:rsid w:val="4D1A70D0"/>
    <w:rsid w:val="51E43809"/>
    <w:rsid w:val="54B03E76"/>
    <w:rsid w:val="58254B7B"/>
    <w:rsid w:val="5C950521"/>
    <w:rsid w:val="5E7F3237"/>
    <w:rsid w:val="5EDD7F5D"/>
    <w:rsid w:val="60701503"/>
    <w:rsid w:val="62E330AD"/>
    <w:rsid w:val="6C5F52F9"/>
    <w:rsid w:val="6D21195D"/>
    <w:rsid w:val="6E900B48"/>
    <w:rsid w:val="71E92402"/>
    <w:rsid w:val="739764D5"/>
    <w:rsid w:val="73CC3BD6"/>
    <w:rsid w:val="76760624"/>
    <w:rsid w:val="77382226"/>
    <w:rsid w:val="797846B3"/>
    <w:rsid w:val="7A74131E"/>
    <w:rsid w:val="7F5B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11"/>
    <w:qFormat/>
    <w:uiPriority w:val="99"/>
    <w:pPr>
      <w:keepNext/>
      <w:keepLines/>
      <w:spacing w:before="240" w:after="64" w:line="320" w:lineRule="auto"/>
      <w:outlineLvl w:val="5"/>
    </w:pPr>
    <w:rPr>
      <w:rFonts w:ascii="Calibri Light" w:hAnsi="Calibri Light"/>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6 Char"/>
    <w:basedOn w:val="8"/>
    <w:link w:val="2"/>
    <w:qFormat/>
    <w:uiPriority w:val="99"/>
    <w:rPr>
      <w:rFonts w:ascii="Calibri Light" w:hAnsi="Calibri Light"/>
      <w:b/>
      <w:bCs/>
      <w:kern w:val="0"/>
      <w:sz w:val="24"/>
      <w:szCs w:val="24"/>
    </w:rPr>
  </w:style>
  <w:style w:type="paragraph" w:styleId="12">
    <w:name w:val="List Paragraph"/>
    <w:basedOn w:val="1"/>
    <w:qFormat/>
    <w:uiPriority w:val="34"/>
    <w:pPr>
      <w:ind w:firstLine="420" w:firstLineChars="200"/>
    </w:pPr>
  </w:style>
  <w:style w:type="paragraph" w:customStyle="1" w:styleId="13">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ACD7C-AB01-4CD0-B2D5-B144362826B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2417</Words>
  <Characters>2658</Characters>
  <Lines>74</Lines>
  <Paragraphs>21</Paragraphs>
  <TotalTime>7</TotalTime>
  <ScaleCrop>false</ScaleCrop>
  <LinksUpToDate>false</LinksUpToDate>
  <CharactersWithSpaces>2667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2021-04-23T00:57:00Z</dcterms:created>
  <dc:creator>商娅宁</dc:creator>
  <cp:lastModifiedBy>Shangyn</cp:lastModifiedBy>
  <dcterms:modified xsi:type="dcterms:W3CDTF">2025-05-22T01:39:10Z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eyJoZGlkIjoiZmQ1MDM0NjIwNWUxZTUxZjA2OTVmNmVlMDA5YjY5MmYiLCJ1c2VySWQiOiI4NzM0MjA4NDAifQ==</vt:lpwstr>
  </property>
  <property fmtid="{D5CDD505-2E9C-101B-9397-08002B2CF9AE}" pid="3" name="KSOProductBuildVer">
    <vt:lpwstr>2052-12.1.0.21171</vt:lpwstr>
  </property>
  <property fmtid="{D5CDD505-2E9C-101B-9397-08002B2CF9AE}" pid="4" name="ICV">
    <vt:lpwstr>5F09E49B7E394874A5056357ADF43E98_13</vt:lpwstr>
  </property>
</Properties>
</file>